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Date of report (Date of earliest event reported): June 8, 2026</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MURPHY OIL CORPORATION</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____________________________</w:t>
      </w:r>
    </w:p>
    <w:p>
      <w:pPr>
        <w:sectPr>
          <w:pgSz w:w="11900" w:h="16838" w:orient="portrait"/>
          <w:cols w:equalWidth="0" w:num="1">
            <w:col w:w="11080"/>
          </w:cols>
          <w:pgMar w:left="320" w:top="441" w:right="499" w:bottom="1440" w:gutter="0" w:footer="0" w:header="0"/>
        </w:sectPr>
      </w:pPr>
    </w:p>
    <w:p>
      <w:pPr>
        <w:spacing w:after="0" w:line="20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1-8590</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71-0361522</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80" w:space="720"/>
            <w:col w:w="2740" w:space="720"/>
            <w:col w:w="2920"/>
          </w:cols>
          <w:pgMar w:left="320" w:top="441"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9805 Katy Fwy, Suite G-200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77024</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(281) 675-9000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7" w:lineRule="exact"/>
        <w:rPr>
          <w:sz w:val="24"/>
          <w:szCs w:val="24"/>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1D1E"/>
        </w:rPr>
        <w:t>Securities registered pursuant to Section 12(b) of the Act:</w:t>
      </w:r>
    </w:p>
    <w:p>
      <w:pPr>
        <w:spacing w:after="0" w:line="212"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6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16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312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Common Stock, $1.00 Par Value</w:t>
            </w:r>
          </w:p>
        </w:tc>
        <w:tc>
          <w:tcPr>
            <w:tcW w:w="640" w:type="dxa"/>
            <w:vAlign w:val="bottom"/>
          </w:tcPr>
          <w:p>
            <w:pPr>
              <w:spacing w:after="0"/>
              <w:rPr>
                <w:sz w:val="20"/>
                <w:szCs w:val="20"/>
                <w:color w:val="auto"/>
              </w:rPr>
            </w:pPr>
          </w:p>
        </w:tc>
        <w:tc>
          <w:tcPr>
            <w:tcW w:w="206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MUR</w:t>
            </w:r>
          </w:p>
        </w:tc>
        <w:tc>
          <w:tcPr>
            <w:tcW w:w="8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198" w:lineRule="exact"/>
        <w:rPr>
          <w:sz w:val="24"/>
          <w:szCs w:val="24"/>
          <w:color w:val="auto"/>
        </w:rPr>
      </w:pPr>
    </w:p>
    <w:p>
      <w:pPr>
        <w:ind w:right="360"/>
        <w:spacing w:after="0" w:line="239" w:lineRule="exact"/>
        <w:rPr>
          <w:sz w:val="20"/>
          <w:szCs w:val="20"/>
          <w:color w:val="auto"/>
        </w:rPr>
      </w:pPr>
      <w:r>
        <w:rPr>
          <w:rFonts w:ascii="Times New Roman" w:cs="Times New Roman" w:eastAsia="Times New Roman" w:hAnsi="Times New Roman"/>
          <w:sz w:val="18"/>
          <w:szCs w:val="18"/>
          <w:color w:val="211D1E"/>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000000"/>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441" w:right="499" w:bottom="1440" w:gutter="0" w:footer="0" w:header="0"/>
          <w:type w:val="continuous"/>
        </w:sectPr>
      </w:pPr>
    </w:p>
    <w:bookmarkStart w:id="1" w:name="page2"/>
    <w:bookmarkEnd w:id="1"/>
    <w:p>
      <w:pPr>
        <w:ind w:left="920" w:hanging="903"/>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Certain Officers; Compensatory Arrangements of Certain Officers</w:t>
      </w:r>
    </w:p>
    <w:p>
      <w:pPr>
        <w:spacing w:after="0" w:line="15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June 11, 2026, Murphy Oil Corporation (the “Company”) announced that E. Ted Botner, Executive Vice President, General Counsel and Corporate Secretary, will retire from his position as Executive Vice President, General Counsel and Corporate Secretary, effective immediately, and will retire from the Company on June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Roger W. Landes, the Company’s Associate General Counsel, has been appointed the Interim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2026</w:t>
            </w:r>
          </w:p>
        </w:tc>
        <w:tc>
          <w:tcPr>
            <w:tcW w:w="826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MURPHY OIL CORPORATION</w:t>
            </w:r>
          </w:p>
        </w:tc>
      </w:tr>
      <w:tr>
        <w:trPr>
          <w:trHeight w:val="432"/>
        </w:trPr>
        <w:tc>
          <w:tcPr>
            <w:tcW w:w="2980" w:type="dxa"/>
            <w:vAlign w:val="bottom"/>
          </w:tcPr>
          <w:p>
            <w:pPr>
              <w:spacing w:after="0"/>
              <w:rPr>
                <w:sz w:val="24"/>
                <w:szCs w:val="24"/>
                <w:color w:val="auto"/>
              </w:rPr>
            </w:pPr>
          </w:p>
        </w:tc>
        <w:tc>
          <w:tcPr>
            <w:tcW w:w="826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By: /s/ Paul D. Vaughan</w:t>
            </w:r>
          </w:p>
        </w:tc>
      </w:tr>
      <w:tr>
        <w:trPr>
          <w:trHeight w:val="191"/>
        </w:trPr>
        <w:tc>
          <w:tcPr>
            <w:tcW w:w="2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8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Paul D. Vaughan</w:t>
            </w:r>
          </w:p>
        </w:tc>
      </w:tr>
      <w:tr>
        <w:trPr>
          <w:trHeight w:val="234"/>
        </w:trPr>
        <w:tc>
          <w:tcPr>
            <w:tcW w:w="29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and Controller</w:t>
            </w:r>
          </w:p>
        </w:tc>
      </w:tr>
      <w:tr>
        <w:trPr>
          <w:trHeight w:val="567"/>
        </w:trPr>
        <w:tc>
          <w:tcPr>
            <w:tcW w:w="29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2026-06-11T15:56:18Z</dcterms:created>
  <dcterms:modified xsi:type="dcterms:W3CDTF">2026-06-11T15:56:18Z</dcterms:modified>
</cp:coreProperties>
</file>