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color w:val="000000"/>
          <w:sz w:val="20"/>
        </w:rPr>
        <w:t>August 5, 2026</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MURPHY OIL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8812" w:type="dxa"/>
        <w:jc w:val="center"/>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01"/>
        <w:gridCol w:w="801"/>
        <w:gridCol w:w="1142"/>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71-0361522</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488"/>
        <w:gridCol w:w="488"/>
        <w:gridCol w:w="488"/>
        <w:gridCol w:w="471"/>
        <w:gridCol w:w="471"/>
        <w:gridCol w:w="471"/>
        <w:gridCol w:w="471"/>
        <w:gridCol w:w="471"/>
        <w:gridCol w:w="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 Katy Fwy, Suite G-200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77024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center"/>
        <w:tblInd w:w="0" w:type="dxa"/>
        <w:tblLayout w:type="fixed"/>
        <w:tblCellMar>
          <w:top w:w="28" w:type="dxa"/>
          <w:left w:w="28" w:type="dxa"/>
          <w:bottom w:w="28" w:type="dxa"/>
          <w:right w:w="28" w:type="dxa"/>
        </w:tblCellMar>
      </w:tblPr>
      <w:tblGrid>
        <w:gridCol w:w="124"/>
        <w:gridCol w:w="109"/>
        <w:gridCol w:w="109"/>
        <w:gridCol w:w="608"/>
        <w:gridCol w:w="608"/>
        <w:gridCol w:w="615"/>
        <w:gridCol w:w="1017"/>
        <w:gridCol w:w="1017"/>
        <w:gridCol w:w="10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200" w:after="283"/>
              <w:jc w:val="right"/>
              <w:rPr>
                <w:rFonts w:ascii="Times New Roman;serif" w:hAnsi="Times New Roman;serif"/>
                <w:b/>
                <w:color w:val="000000"/>
                <w:sz w:val="20"/>
              </w:rPr>
            </w:pPr>
            <w:r>
              <w:rPr>
                <w:rFonts w:ascii="Times New Roman;serif" w:hAnsi="Times New Roman;serif"/>
                <w:b/>
                <w:color w:val="000000"/>
                <w:sz w:val="20"/>
              </w:rPr>
              <w:t>(281)</w:t>
            </w:r>
          </w:p>
        </w:tc>
        <w:tc>
          <w:tcPr>
            <w:tcW w:w="3057"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675-9000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(see General Instruction A.2. below):</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1"/>
        <w:gridCol w:w="2551"/>
        <w:gridCol w:w="3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092" w:type="dxa"/>
        <w:jc w:val="left"/>
        <w:tblInd w:w="0" w:type="dxa"/>
        <w:tblLayout w:type="fixed"/>
        <w:tblCellMar>
          <w:top w:w="28" w:type="dxa"/>
          <w:left w:w="28" w:type="dxa"/>
          <w:bottom w:w="28" w:type="dxa"/>
          <w:right w:w="28" w:type="dxa"/>
        </w:tblCellMar>
      </w:tblPr>
      <w:tblGrid>
        <w:gridCol w:w="907"/>
        <w:gridCol w:w="793"/>
        <w:gridCol w:w="804"/>
        <w:gridCol w:w="424"/>
        <w:gridCol w:w="424"/>
        <w:gridCol w:w="426"/>
        <w:gridCol w:w="970"/>
        <w:gridCol w:w="970"/>
        <w:gridCol w:w="1374"/>
      </w:tblGrid>
      <w:tr>
        <w:trPr/>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$1.00 Par Value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MUR</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60" w:after="283"/>
        <w:jc w:val="left"/>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w:t>
      </w:r>
    </w:p>
    <w:p>
      <w:pPr>
        <w:pStyle w:val="TextBody"/>
        <w:bidi w:val="0"/>
        <w:spacing w:lineRule="auto" w:line="288" w:before="260" w:after="283"/>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4"/>
        </w:rPr>
        <w:t>Item</w:t>
      </w:r>
      <w:r>
        <w:rPr>
          <w:color w:val="000000"/>
        </w:rPr>
        <w:t xml:space="preserve"> </w:t>
      </w:r>
      <w:r>
        <w:rPr>
          <w:rFonts w:ascii="Times New Roman;serif" w:hAnsi="Times New Roman;serif"/>
          <w:b/>
          <w:color w:val="000000"/>
          <w:sz w:val="24"/>
        </w:rPr>
        <w:t>2.02.   Results of Operations and Financial Condition</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The following information is furnished pursuant to Item 2.02, “Results of Operations and Financial Condition.”</w:t>
      </w:r>
    </w:p>
    <w:p>
      <w:pPr>
        <w:pStyle w:val="TextBody"/>
        <w:bidi w:val="0"/>
        <w:spacing w:lineRule="auto" w:line="288" w:before="200" w:after="200"/>
        <w:jc w:val="left"/>
        <w:rPr>
          <w:rFonts w:ascii="Times New Roman;serif" w:hAnsi="Times New Roman;serif"/>
          <w:b w:val="false"/>
          <w:color w:val="000000"/>
          <w:sz w:val="24"/>
        </w:rPr>
      </w:pPr>
      <w:r>
        <w:rPr>
          <w:rFonts w:ascii="Times New Roman;serif" w:hAnsi="Times New Roman;serif"/>
          <w:b w:val="false"/>
          <w:color w:val="000000"/>
          <w:sz w:val="24"/>
        </w:rPr>
        <w:t>On August 5, 2026 Murphy Oil Corporation (“the Company”) issued a news release announcing its financial and operating results for the quarter ended June 30, 2026. The full text of this news release is attached hereto as Exhibit 99.1. The Company also issued a quarterly stockholder update as a supplement to the earnings release, which is furnished hereto as Exhibit 99.2.</w:t>
      </w:r>
    </w:p>
    <w:p>
      <w:pPr>
        <w:pStyle w:val="TextBody"/>
        <w:bidi w:val="0"/>
        <w:spacing w:lineRule="auto" w:line="288" w:before="20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The information contained in this report and the exhibits hereto shall not be deemed to be “filed” for purposes of Section 18 of the Securities Exchange Act of 1934, nor shall it be deemed incorporated by reference in any filing under the Securities Act of 1933, as amended, unless specifically identified as such.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bl>
      <w:tblPr>
        <w:tblW w:w="7351" w:type="dxa"/>
        <w:jc w:val="left"/>
        <w:tblInd w:w="0" w:type="dxa"/>
        <w:tblLayout w:type="fixed"/>
        <w:tblCellMar>
          <w:top w:w="28" w:type="dxa"/>
          <w:left w:w="28" w:type="dxa"/>
          <w:bottom w:w="28" w:type="dxa"/>
          <w:right w:w="28" w:type="dxa"/>
        </w:tblCellMar>
      </w:tblPr>
      <w:tblGrid>
        <w:gridCol w:w="174"/>
        <w:gridCol w:w="153"/>
        <w:gridCol w:w="154"/>
        <w:gridCol w:w="2005"/>
        <w:gridCol w:w="2005"/>
        <w:gridCol w:w="286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mur-2026q2xex991.htm">
              <w:r>
                <w:rPr>
                  <w:rStyle w:val="InternetLink"/>
                  <w:rFonts w:ascii="Times New Roman;serif" w:hAnsi="Times New Roman;serif"/>
                  <w:b w:val="false"/>
                  <w:color w:val="0000FF"/>
                  <w:sz w:val="20"/>
                  <w:u w:val="single"/>
                </w:rPr>
                <w:t>99.1</w:t>
              </w:r>
            </w:hyperlink>
          </w:p>
        </w:tc>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r-2026q2xex991.htm">
              <w:r>
                <w:rPr>
                  <w:rStyle w:val="InternetLink"/>
                  <w:rFonts w:ascii="Times New Roman;serif" w:hAnsi="Times New Roman;serif"/>
                  <w:b w:val="false"/>
                  <w:color w:val="0000FF"/>
                  <w:sz w:val="20"/>
                  <w:u w:val="single"/>
                </w:rPr>
                <w:t>Murphy Oil Corporation Announces Second Quarter Results, dated August 5,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mur-2026q2xex992.htm">
              <w:r>
                <w:rPr>
                  <w:rStyle w:val="InternetLink"/>
                  <w:rFonts w:ascii="Times New Roman;serif" w:hAnsi="Times New Roman;serif"/>
                  <w:b w:val="false"/>
                  <w:color w:val="0000FF"/>
                  <w:sz w:val="20"/>
                  <w:u w:val="single"/>
                </w:rPr>
                <w:t>99.2</w:t>
              </w:r>
            </w:hyperlink>
          </w:p>
        </w:tc>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r-2026q2xex992.htm">
              <w:r>
                <w:rPr>
                  <w:rStyle w:val="InternetLink"/>
                  <w:rFonts w:ascii="Times New Roman;serif" w:hAnsi="Times New Roman;serif"/>
                  <w:b w:val="false"/>
                  <w:color w:val="0000FF"/>
                  <w:sz w:val="20"/>
                  <w:u w:val="single"/>
                </w:rPr>
                <w:t>Quarterly Stockholder Update by Murphy Oil Corporation, dated August 5, 2026</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6870"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68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6665" w:type="dxa"/>
        <w:jc w:val="left"/>
        <w:tblInd w:w="0" w:type="dxa"/>
        <w:tblLayout w:type="fixed"/>
        <w:tblCellMar>
          <w:top w:w="28" w:type="dxa"/>
          <w:left w:w="28" w:type="dxa"/>
          <w:bottom w:w="28" w:type="dxa"/>
          <w:right w:w="28" w:type="dxa"/>
        </w:tblCellMar>
      </w:tblPr>
      <w:tblGrid>
        <w:gridCol w:w="780"/>
        <w:gridCol w:w="688"/>
        <w:gridCol w:w="691"/>
        <w:gridCol w:w="517"/>
        <w:gridCol w:w="517"/>
        <w:gridCol w:w="517"/>
        <w:gridCol w:w="861"/>
        <w:gridCol w:w="861"/>
        <w:gridCol w:w="1233"/>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MURPHY OIL </w:t>
            </w:r>
            <w:r>
              <w:rPr>
                <w:rFonts w:ascii="Times New Roman;serif" w:hAnsi="Times New Roman;serif"/>
                <w:b w:val="false"/>
                <w:color w:val="000000"/>
                <w:sz w:val="22"/>
              </w:rPr>
              <w:t>CORPORATION</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5, 2026</w:t>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Paul D. Vaughan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Paul D. Vaughan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and Controller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tbl>
      <w:tblPr>
        <w:tblW w:w="7606" w:type="dxa"/>
        <w:jc w:val="left"/>
        <w:tblInd w:w="0" w:type="dxa"/>
        <w:tblLayout w:type="fixed"/>
        <w:tblCellMar>
          <w:top w:w="28" w:type="dxa"/>
          <w:left w:w="28" w:type="dxa"/>
          <w:bottom w:w="28" w:type="dxa"/>
          <w:right w:w="28" w:type="dxa"/>
        </w:tblCellMar>
      </w:tblPr>
      <w:tblGrid>
        <w:gridCol w:w="266"/>
        <w:gridCol w:w="234"/>
        <w:gridCol w:w="236"/>
        <w:gridCol w:w="2011"/>
        <w:gridCol w:w="2011"/>
        <w:gridCol w:w="284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mur-2026q2xex991.htm">
              <w:r>
                <w:rPr>
                  <w:rStyle w:val="InternetLink"/>
                  <w:rFonts w:ascii="Times New Roman;serif" w:hAnsi="Times New Roman;serif"/>
                  <w:b w:val="false"/>
                  <w:color w:val="0000FF"/>
                  <w:sz w:val="20"/>
                  <w:u w:val="single"/>
                </w:rPr>
                <w:t>99.1</w:t>
              </w:r>
            </w:hyperlink>
          </w:p>
        </w:tc>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q2xex991.htm">
              <w:r>
                <w:rPr>
                  <w:rStyle w:val="InternetLink"/>
                  <w:rFonts w:ascii="Times New Roman;serif" w:hAnsi="Times New Roman;serif"/>
                  <w:b w:val="false"/>
                  <w:color w:val="0000FF"/>
                  <w:sz w:val="20"/>
                  <w:u w:val="single"/>
                </w:rPr>
                <w:t>Murphy Oil Corporation Announces Second Quarter Results, dated August 5, 2026</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q2xex992.htm">
              <w:r>
                <w:rPr>
                  <w:rStyle w:val="InternetLink"/>
                  <w:rFonts w:ascii="Times New Roman;serif" w:hAnsi="Times New Roman;serif"/>
                  <w:b w:val="false"/>
                  <w:color w:val="0000FF"/>
                  <w:sz w:val="20"/>
                  <w:u w:val="single"/>
                </w:rPr>
                <w:t>99.2</w:t>
              </w:r>
            </w:hyperlink>
          </w:p>
        </w:tc>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q2xex992.htm">
              <w:r>
                <w:rPr>
                  <w:rStyle w:val="InternetLink"/>
                  <w:rFonts w:ascii="Times New Roman;serif" w:hAnsi="Times New Roman;serif"/>
                  <w:b w:val="false"/>
                  <w:color w:val="0000FF"/>
                  <w:sz w:val="20"/>
                  <w:u w:val="single"/>
                </w:rPr>
                <w:t>Quarterly Stockholder Update by Murphy Oil Corporation, dated August 5, 2026</w:t>
              </w:r>
            </w:hyperlink>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6870"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6870"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200" w:after="200"/>
        <w:jc w:val="right"/>
        <w:rPr>
          <w:rFonts w:ascii="Avenir Next LT Pro;sans-serif" w:hAnsi="Avenir Next LT Pro;sans-serif"/>
          <w:b/>
          <w:color w:val="000000"/>
          <w:sz w:val="24"/>
        </w:rPr>
      </w:pPr>
      <w:r>
        <w:rPr>
          <w:rFonts w:ascii="Avenir Next LT Pro;sans-serif" w:hAnsi="Avenir Next LT Pro;sans-serif"/>
          <w:b/>
          <w:color w:val="000000"/>
          <w:sz w:val="24"/>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4.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00"/>
        <w:jc w:val="both"/>
        <w:rPr/>
      </w:pPr>
      <w:r>
        <w:rPr/>
        <w:drawing>
          <wp:inline distT="0" distB="0" distL="0" distR="0">
            <wp:extent cx="2190750" cy="904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190750" cy="904875"/>
                    </a:xfrm>
                    <a:prstGeom prst="rect">
                      <a:avLst/>
                    </a:prstGeom>
                  </pic:spPr>
                </pic:pic>
              </a:graphicData>
            </a:graphic>
          </wp:inline>
        </w:drawing>
      </w:r>
    </w:p>
    <w:p>
      <w:pPr>
        <w:pStyle w:val="TextBody"/>
        <w:bidi w:val="0"/>
        <w:spacing w:lineRule="auto" w:line="319" w:before="200" w:after="200"/>
        <w:ind w:left="0" w:right="0" w:firstLine="180"/>
        <w:jc w:val="left"/>
        <w:rPr>
          <w:rFonts w:ascii="Avenir Next LT Pro;sans-serif" w:hAnsi="Avenir Next LT Pro;sans-serif"/>
          <w:b/>
          <w:color w:val="000000"/>
          <w:sz w:val="28"/>
        </w:rPr>
      </w:pPr>
      <w:r>
        <w:rPr>
          <w:rFonts w:ascii="Avenir Next LT Pro;sans-serif" w:hAnsi="Avenir Next LT Pro;sans-serif"/>
          <w:b/>
          <w:color w:val="000000"/>
          <w:sz w:val="28"/>
        </w:rPr>
        <w:t>NEWS RELEASE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180"/>
        <w:jc w:val="center"/>
        <w:rPr>
          <w:rFonts w:ascii="Avenir Next LT Pro;sans-serif" w:hAnsi="Avenir Next LT Pro;sans-serif"/>
          <w:b/>
          <w:color w:val="000000"/>
          <w:sz w:val="24"/>
          <w:shd w:fill="FFFFFF" w:val="clear"/>
        </w:rPr>
      </w:pPr>
      <w:r>
        <w:rPr>
          <w:rFonts w:ascii="Avenir Next LT Pro;sans-serif" w:hAnsi="Avenir Next LT Pro;sans-serif"/>
          <w:b/>
          <w:color w:val="000000"/>
          <w:sz w:val="24"/>
          <w:shd w:fill="FFFFFF" w:val="clear"/>
        </w:rPr>
        <w:t>MURPHY OIL CORPORATION ANNOUNCES SECOND QUARTER RESULTS</w:t>
      </w:r>
    </w:p>
    <w:p>
      <w:pPr>
        <w:pStyle w:val="TextBody"/>
        <w:bidi w:val="0"/>
        <w:spacing w:lineRule="auto" w:line="288" w:before="0" w:after="40"/>
        <w:jc w:val="center"/>
        <w:rPr/>
      </w:pPr>
      <w:r>
        <w:rPr>
          <w:rFonts w:ascii="Avenir Next LT Pro;sans-serif" w:hAnsi="Avenir Next LT Pro;sans-serif"/>
          <w:b/>
          <w:i/>
          <w:color w:val="000000"/>
          <w:sz w:val="24"/>
          <w:shd w:fill="FFFFFF" w:val="clear"/>
        </w:rPr>
        <w:t>Produced at Upper End of Guidance Range</w:t>
      </w:r>
      <w:r>
        <w:rPr>
          <w:rFonts w:ascii="Avenir Next LT Pro;sans-serif" w:hAnsi="Avenir Next LT Pro;sans-serif"/>
          <w:b/>
          <w:i/>
          <w:color w:val="000000"/>
          <w:sz w:val="24"/>
        </w:rPr>
        <w:br/>
        <w:t xml:space="preserve">Announced Oil Discovery at Bubale-1X in Côte d’Ivoire </w:t>
      </w:r>
    </w:p>
    <w:p>
      <w:pPr>
        <w:pStyle w:val="TextBody"/>
        <w:bidi w:val="0"/>
        <w:spacing w:lineRule="auto" w:line="288" w:before="0" w:after="40"/>
        <w:jc w:val="center"/>
        <w:rPr>
          <w:rFonts w:ascii="Avenir Next LT Pro;sans-serif" w:hAnsi="Avenir Next LT Pro;sans-serif"/>
          <w:b/>
          <w:i/>
          <w:color w:val="000000"/>
          <w:sz w:val="24"/>
        </w:rPr>
      </w:pPr>
      <w:r>
        <w:rPr>
          <w:rFonts w:ascii="Avenir Next LT Pro;sans-serif" w:hAnsi="Avenir Next LT Pro;sans-serif"/>
          <w:b/>
          <w:i/>
          <w:color w:val="000000"/>
          <w:sz w:val="24"/>
        </w:rPr>
        <w:t>Advanced Lac Da Vang (Golden Camel) Development Project toward First Oil, Completing Pipeline Work and Launching the FSO</w:t>
      </w:r>
    </w:p>
    <w:p>
      <w:pPr>
        <w:pStyle w:val="TextBody"/>
        <w:bidi w:val="0"/>
        <w:spacing w:before="0" w:after="40"/>
        <w:jc w:val="center"/>
        <w:rPr/>
      </w:pPr>
      <w:r>
        <w:rPr/>
      </w:r>
    </w:p>
    <w:p>
      <w:pPr>
        <w:pStyle w:val="TextBody"/>
        <w:bidi w:val="0"/>
        <w:spacing w:lineRule="auto" w:line="300" w:before="0" w:after="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br/>
        <w:t xml:space="preserve">HOUSTON, Texas, August 5, 2026 – Murphy Oil Corporation (NYSE: MUR) today announced its financial and operating results for the second quarter ended June 30, 2026. As a supplement to this release, Murphy has also furnished a Quarterly Stockholder Update. </w:t>
      </w:r>
    </w:p>
    <w:p>
      <w:pPr>
        <w:pStyle w:val="TextBody"/>
        <w:bidi w:val="0"/>
        <w:spacing w:lineRule="auto" w:line="300" w:before="200" w:after="200"/>
        <w:jc w:val="both"/>
        <w:rPr/>
      </w:pPr>
      <w:r>
        <w:rPr>
          <w:rFonts w:ascii="Avenir Next LT Pro;sans-serif" w:hAnsi="Avenir Next LT Pro;sans-serif"/>
          <w:b w:val="false"/>
          <w:color w:val="000000"/>
          <w:sz w:val="24"/>
        </w:rPr>
        <w:t>Unless otherwise noted, the financial and operating highlights and metrics discussed in this commentary exclude noncontrolling interest (NCI).</w:t>
      </w:r>
      <w:r>
        <w:rPr>
          <w:color w:val="000000"/>
        </w:rPr>
        <w:t>†</w:t>
      </w:r>
    </w:p>
    <w:tbl>
      <w:tblPr>
        <w:tblW w:w="10205" w:type="dxa"/>
        <w:jc w:val="left"/>
        <w:tblInd w:w="0" w:type="dxa"/>
        <w:tblLayout w:type="fixed"/>
        <w:tblCellMar>
          <w:top w:w="28" w:type="dxa"/>
          <w:left w:w="28" w:type="dxa"/>
          <w:bottom w:w="28" w:type="dxa"/>
          <w:right w:w="28" w:type="dxa"/>
        </w:tblCellMar>
      </w:tblPr>
      <w:tblGrid>
        <w:gridCol w:w="2600"/>
        <w:gridCol w:w="2163"/>
        <w:gridCol w:w="2170"/>
        <w:gridCol w:w="648"/>
        <w:gridCol w:w="2069"/>
        <w:gridCol w:w="288"/>
        <w:gridCol w:w="109"/>
        <w:gridCol w:w="158"/>
      </w:tblGrid>
      <w:tr>
        <w:trPr/>
        <w:tc>
          <w:tcPr>
            <w:tcW w:w="260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 except volumes and per share amounts)</w:t>
            </w:r>
          </w:p>
        </w:tc>
        <w:tc>
          <w:tcPr>
            <w:tcW w:w="30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 per common share - Diluted</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1.59</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Adjusted net income from continuing operations attributable to Murphy </w:t>
            </w:r>
          </w:p>
          <w:p>
            <w:pPr>
              <w:pStyle w:val="TableContents"/>
              <w:bidi w:val="0"/>
              <w:spacing w:lineRule="auto" w:line="240" w:before="0" w:after="0"/>
              <w:jc w:val="left"/>
              <w:rPr/>
            </w:pPr>
            <w:r>
              <w:rPr>
                <w:rFonts w:ascii="Avenir Next LT Pro;sans-serif" w:hAnsi="Avenir Next LT Pro;sans-serif"/>
                <w:b w:val="false"/>
                <w:color w:val="000000"/>
                <w:sz w:val="20"/>
              </w:rPr>
              <w:t xml:space="preserve">(Non-GAAP) </w:t>
            </w:r>
            <w:r>
              <w:rPr>
                <w:rFonts w:ascii="Avenir Next LT Pro;sans-serif" w:hAnsi="Avenir Next LT Pro;sans-serif"/>
                <w:b w:val="false"/>
                <w:color w:val="000000"/>
                <w:sz w:val="13"/>
              </w:rPr>
              <w:t>1</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225.8</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net income from continuing operations per average common share - Diluted (Non-GAAP) </w:t>
            </w:r>
            <w:r>
              <w:rPr>
                <w:rFonts w:ascii="Avenir Next LT Pro;sans-serif" w:hAnsi="Avenir Next LT Pro;sans-serif"/>
                <w:b w:val="false"/>
                <w:color w:val="000000"/>
                <w:sz w:val="13"/>
              </w:rPr>
              <w:t>1</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EBITDA attributable to Murphy (Non-GAAP) </w:t>
            </w:r>
            <w:r>
              <w:rPr>
                <w:rFonts w:ascii="Avenir Next LT Pro;sans-serif" w:hAnsi="Avenir Next LT Pro;sans-serif"/>
                <w:b w:val="false"/>
                <w:color w:val="000000"/>
                <w:sz w:val="13"/>
              </w:rPr>
              <w:t>1</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592.7</w:t>
            </w:r>
            <w:r>
              <w:rPr>
                <w:color w:val="000000"/>
              </w:rPr>
              <w:t>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Adjusted EBITDAX attributable to Murphy (Non-GAAP) </w:t>
            </w:r>
            <w:r>
              <w:rPr>
                <w:rFonts w:ascii="Avenir Next LT Pro;sans-serif" w:hAnsi="Avenir Next LT Pro;sans-serif"/>
                <w:b w:val="false"/>
                <w:color w:val="000000"/>
                <w:sz w:val="13"/>
              </w:rPr>
              <w:t>1</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632.0</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655.9</w:t>
            </w:r>
            <w:r>
              <w:rPr>
                <w:color w:val="000000"/>
              </w:rPr>
              <w:t>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Operating cash flow excluding working capital adjustments (Non-GAAP) </w:t>
            </w:r>
            <w:r>
              <w:rPr>
                <w:rFonts w:ascii="Avenir Next LT Pro;sans-serif" w:hAnsi="Avenir Next LT Pro;sans-serif"/>
                <w:b w:val="false"/>
                <w:color w:val="000000"/>
                <w:sz w:val="13"/>
              </w:rPr>
              <w:t>1</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588.4</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Free cash flow (Non-GAAP) </w:t>
            </w:r>
            <w:r>
              <w:rPr>
                <w:rFonts w:ascii="Avenir Next LT Pro;sans-serif" w:hAnsi="Avenir Next LT Pro;sans-serif"/>
                <w:b w:val="false"/>
                <w:color w:val="000000"/>
                <w:sz w:val="13"/>
              </w:rPr>
              <w:t>1</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Oil production, net (BOPD)</w:t>
            </w:r>
            <w:r>
              <w:rPr>
                <w:color w:val="000000"/>
              </w:rPr>
              <w:t xml:space="preserve"> </w:t>
            </w:r>
            <w:r>
              <w:rPr>
                <w:rFonts w:ascii="Avenir Next LT Pro;sans-serif" w:hAnsi="Avenir Next LT Pro;sans-serif"/>
                <w:b w:val="false"/>
                <w:color w:val="000000"/>
                <w:sz w:val="13"/>
              </w:rPr>
              <w:t>2</w:t>
            </w:r>
          </w:p>
        </w:tc>
        <w:tc>
          <w:tcPr>
            <w:tcW w:w="27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85,265</w:t>
            </w:r>
            <w:r>
              <w:rPr>
                <w:color w:val="000000"/>
              </w:rPr>
              <w:t>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production, net (BOEPD) </w:t>
            </w:r>
            <w:r>
              <w:rPr>
                <w:rFonts w:ascii="Avenir Next LT Pro;sans-serif" w:hAnsi="Avenir Next LT Pro;sans-serif"/>
                <w:b w:val="false"/>
                <w:color w:val="000000"/>
                <w:sz w:val="13"/>
              </w:rPr>
              <w:t>2</w:t>
            </w:r>
          </w:p>
        </w:tc>
        <w:tc>
          <w:tcPr>
            <w:tcW w:w="27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168,995</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 (CAPEX)</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476.0</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Lease operating expense from continuing operations ($/BOE)</w:t>
            </w:r>
            <w:r>
              <w:rPr>
                <w:color w:val="000000"/>
              </w:rPr>
              <w:t xml:space="preserve"> </w:t>
            </w:r>
            <w:r>
              <w:rPr>
                <w:rFonts w:ascii="Avenir Next LT Pro;sans-serif" w:hAnsi="Avenir Next LT Pro;sans-serif"/>
                <w:b w:val="false"/>
                <w:color w:val="000000"/>
                <w:sz w:val="13"/>
              </w:rPr>
              <w:t>2</w:t>
            </w:r>
          </w:p>
        </w:tc>
        <w:tc>
          <w:tcPr>
            <w:tcW w:w="6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20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8.83</w:t>
            </w:r>
            <w:r>
              <w:rPr>
                <w:color w:val="000000"/>
              </w:rPr>
              <w:t> </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 xml:space="preserve">Please see our schedules of </w:t>
      </w:r>
      <w:hyperlink w:anchor="i60305e8589c247c3a8cacdf1947bcd4d_22">
        <w:r>
          <w:rPr>
            <w:rStyle w:val="InternetLink"/>
            <w:rFonts w:ascii="Avenir Next LT Pro;sans-serif" w:hAnsi="Avenir Next LT Pro;sans-serif"/>
            <w:b w:val="false"/>
            <w:color w:val="0000FF"/>
            <w:sz w:val="18"/>
            <w:u w:val="single"/>
          </w:rPr>
          <w:t>adjusted net income</w:t>
        </w:r>
      </w:hyperlink>
      <w:r>
        <w:rPr>
          <w:rFonts w:ascii="Avenir Next LT Pro;sans-serif" w:hAnsi="Avenir Next LT Pro;sans-serif"/>
          <w:b w:val="false"/>
          <w:color w:val="000000"/>
          <w:sz w:val="18"/>
        </w:rPr>
        <w:t xml:space="preserve">, </w:t>
      </w:r>
      <w:hyperlink w:anchor="i60305e8589c247c3a8cacdf1947bcd4d_25">
        <w:r>
          <w:rPr>
            <w:rStyle w:val="InternetLink"/>
            <w:rFonts w:ascii="Avenir Next LT Pro;sans-serif" w:hAnsi="Avenir Next LT Pro;sans-serif"/>
            <w:b w:val="false"/>
            <w:color w:val="0000FF"/>
            <w:sz w:val="18"/>
            <w:u w:val="single"/>
          </w:rPr>
          <w:t>adjusted EBITDA and adjusted EBITDAX</w:t>
        </w:r>
      </w:hyperlink>
      <w:r>
        <w:rPr>
          <w:color w:val="000000"/>
        </w:rPr>
        <w:t xml:space="preserve"> </w:t>
      </w:r>
      <w:r>
        <w:rPr>
          <w:rFonts w:ascii="Avenir Next LT Pro;sans-serif" w:hAnsi="Avenir Next LT Pro;sans-serif"/>
          <w:b w:val="false"/>
          <w:color w:val="000000"/>
          <w:sz w:val="18"/>
        </w:rPr>
        <w:t xml:space="preserve">and </w:t>
      </w:r>
      <w:hyperlink w:anchor="i60305e8589c247c3a8cacdf1947bcd4d_31">
        <w:r>
          <w:rPr>
            <w:rStyle w:val="InternetLink"/>
            <w:rFonts w:ascii="Avenir Next LT Pro;sans-serif" w:hAnsi="Avenir Next LT Pro;sans-serif"/>
            <w:b w:val="false"/>
            <w:color w:val="0000FF"/>
            <w:sz w:val="18"/>
            <w:u w:val="single"/>
          </w:rPr>
          <w:t>free cash flow</w:t>
        </w:r>
      </w:hyperlink>
      <w:r>
        <w:rPr>
          <w:color w:val="000000"/>
        </w:rPr>
        <w:t xml:space="preserve"> </w:t>
      </w:r>
      <w:r>
        <w:rPr>
          <w:rFonts w:ascii="Avenir Next LT Pro;sans-serif" w:hAnsi="Avenir Next LT Pro;sans-serif"/>
          <w:b w:val="false"/>
          <w:color w:val="000000"/>
          <w:sz w:val="18"/>
        </w:rPr>
        <w:t>for details and reconciliations of non-GAAP financial measures to the most directly comparable GAAP financial measures.</w:t>
      </w:r>
    </w:p>
    <w:p>
      <w:pPr>
        <w:pStyle w:val="TextBody"/>
        <w:bidi w:val="0"/>
        <w:spacing w:lineRule="auto" w:line="264" w:before="20" w:after="283"/>
        <w:ind w:left="0" w:right="0" w:hanging="86"/>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Barrels of oil per day (BOPD), barrels of oil equivalent (BOE) and barrels of oil equivalent per day (BOEPD).</w:t>
      </w:r>
    </w:p>
    <w:p>
      <w:pPr>
        <w:pStyle w:val="TextBody"/>
        <w:bidi w:val="0"/>
        <w:spacing w:before="20" w:after="283"/>
        <w:ind w:left="0" w:right="0" w:hanging="86"/>
        <w:jc w:val="left"/>
        <w:rPr/>
      </w:pPr>
      <w:r>
        <w:rPr/>
      </w:r>
    </w:p>
    <w:p>
      <w:pPr>
        <w:pStyle w:val="TextBody"/>
        <w:bidi w:val="0"/>
        <w:spacing w:before="20" w:after="283"/>
        <w:ind w:left="0" w:right="0" w:hanging="86"/>
        <w:jc w:val="left"/>
        <w:rPr/>
      </w:pPr>
      <w:r>
        <w:rPr/>
      </w:r>
    </w:p>
    <w:p>
      <w:pPr>
        <w:pStyle w:val="TextBody"/>
        <w:bidi w:val="0"/>
        <w:spacing w:before="200" w:after="2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800"/>
                <wp:effectExtent l="0" t="0" r="0" b="0"/>
                <wp:wrapNone/>
                <wp:docPr id="6" name="Frame5"/>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Highlights for the second quarter include:</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 xml:space="preserve">Produced 169,000 BOEPD, at the upper end of quarterly guidance primarily due to continued strong well performance at Tupper Montney </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Earned net income of $232 million in 2Q 2026 compared to $22 million in 2Q 2025, with the increase driven by stronger commodity prices and continued operational outperformance</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Announced oil discovery at the Bubale-1X exploration well in Block CI-709 offshore Côte d'Ivoire, with the well encountering 100 feet of net pay across two reservoirs</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Concluded the Hai Su Vang (Golden Sea Lion) appraisal program in Vietnam with the completion of the Hai Su Vang-4X appraisal well, which was expensed as a dry hole</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Completed drilling operations and initiated completion activities at the Chinook #8 development well in the Gulf of America</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 xml:space="preserve">Finalized pipeline installation and launched the FSO (Floating Storage and Offloading vessel) at the Lac Da Vang development project in Vietnam </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Executed onshore program as planned, bringing online six Eagle Ford Shale wells and four Kaybob Duvernay wells</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Subsequent to the second quarter:</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Spud the Bubale West-1X appraisal well in Block CI-103 offshore Côte d'Ivoire</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 xml:space="preserve">Spud the Lac Da Trang (White Camel) North-1X exploration well in Block 15-1/05 in Vietnam </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 xml:space="preserve">Completed the installation of topsides and mobilized FSO to final location for the Lac Da Vang development project </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Expanded the full-year capital program to advance high-impact appraisal and development opportunities, increasing the CAPEX midpoint from $1.25 billion to $1.55 billion</w:t>
      </w:r>
    </w:p>
    <w:p>
      <w:pPr>
        <w:pStyle w:val="TextBody"/>
        <w:bidi w:val="0"/>
        <w:spacing w:lineRule="auto" w:line="300" w:before="0" w:after="120"/>
        <w:ind w:left="0" w:right="0" w:hanging="360"/>
        <w:jc w:val="both"/>
        <w:rPr/>
      </w:pPr>
      <w:r>
        <w:rPr>
          <w:color w:val="000000"/>
        </w:rPr>
        <w:t>•</w:t>
      </w:r>
      <w:r>
        <w:rPr>
          <w:rFonts w:ascii="Avenir Next LT Pro;sans-serif" w:hAnsi="Avenir Next LT Pro;sans-serif"/>
          <w:b w:val="false"/>
          <w:color w:val="000000"/>
          <w:sz w:val="24"/>
        </w:rPr>
        <w:t>Published the 2026 Sustainability Report, highlighting Murphy’s commitment to responsible operations, corporate governance, and long-term shareholder value creation</w:t>
      </w:r>
    </w:p>
    <w:p>
      <w:pPr>
        <w:pStyle w:val="TextBody"/>
        <w:bidi w:val="0"/>
        <w:spacing w:lineRule="auto" w:line="300" w:before="200" w:after="200"/>
        <w:jc w:val="both"/>
        <w:rPr>
          <w:color w:val="000000"/>
        </w:rPr>
      </w:pPr>
      <w:r>
        <w:rPr>
          <w:color w:val="000000"/>
        </w:rPr>
        <w:t>“</w:t>
      </w:r>
      <w:r>
        <w:rPr>
          <w:rFonts w:ascii="Avenir Next LT Pro;sans-serif" w:hAnsi="Avenir Next LT Pro;sans-serif"/>
          <w:b w:val="false"/>
          <w:color w:val="000000"/>
          <w:sz w:val="24"/>
        </w:rPr>
        <w:t xml:space="preserve">Murphy enters the second half of 2026 with a growing exploration pipeline and multiple pathways to long-term shareholder value creation. Bubale-1X has broadened our opportunity set, Hai Su Vang has progressed from appraisal to development planning, and Lac Da Vang is nearing first oil. The breadth of our portfolio creates optionality, allowing us to prioritize the highest-value opportunities and maximize shareholder returns,” stated Eric M. Hambly, President and Chief Executive Officer. </w:t>
      </w:r>
    </w:p>
    <w:p>
      <w:pPr>
        <w:pStyle w:val="TextBody"/>
        <w:bidi w:val="0"/>
        <w:spacing w:before="200" w:after="2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800"/>
                <wp:effectExtent l="0" t="0" r="0" b="0"/>
                <wp:wrapNone/>
                <wp:docPr id="7" name="Frame6"/>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200" w:after="200"/>
        <w:jc w:val="left"/>
        <w:rPr>
          <w:rFonts w:ascii="Avenir Next LT Pro;sans-serif" w:hAnsi="Avenir Next LT Pro;sans-serif"/>
          <w:b/>
          <w:color w:val="000000"/>
          <w:sz w:val="24"/>
          <w:shd w:fill="FFFFFF" w:val="clear"/>
        </w:rPr>
      </w:pPr>
      <w:r>
        <w:rPr>
          <w:rFonts w:ascii="Avenir Next LT Pro;sans-serif" w:hAnsi="Avenir Next LT Pro;sans-serif"/>
          <w:b/>
          <w:color w:val="000000"/>
          <w:sz w:val="24"/>
          <w:shd w:fill="FFFFFF" w:val="clear"/>
        </w:rPr>
        <w:t>SHAREHOLDER RETURNS</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During the second quarter of 2026, we paid $50 million in quarterly dividends.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While the Company elected not to repurchase shares in the second quarter, it retains significant flexibility with $550 million remaining under its share repurchase authorization. As of June 30, 2026, there were 143.4 million shares outstanding.</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POSITION</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Murphy had approximately $2.48 billion of liquidity on June 30, 2026, comprised of the undrawn $2.00 billion senior unsecured credit facility and approximately $480 million of cash and cash equivalents, inclusive of NCI.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As of June 30, 2026, Murphy’s total debt of $1.55 billion was comprised of long-term, fixed-rate notes, with a weighted average maturity of 8.7 years and a weighted average coupon of 6.3 percent.</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 xml:space="preserve">ONSHORE OPERATIONS SUMMARY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In the second quarter of 2026, the onshore business produced approximately 103,800 BOEPD, which included 38 percent liquids.</w:t>
      </w:r>
    </w:p>
    <w:tbl>
      <w:tblPr>
        <w:tblW w:w="6770" w:type="dxa"/>
        <w:jc w:val="left"/>
        <w:tblInd w:w="0" w:type="dxa"/>
        <w:tblLayout w:type="fixed"/>
        <w:tblCellMar>
          <w:top w:w="28" w:type="dxa"/>
          <w:left w:w="28" w:type="dxa"/>
          <w:bottom w:w="28" w:type="dxa"/>
          <w:right w:w="28" w:type="dxa"/>
        </w:tblCellMar>
      </w:tblPr>
      <w:tblGrid>
        <w:gridCol w:w="674"/>
        <w:gridCol w:w="592"/>
        <w:gridCol w:w="593"/>
        <w:gridCol w:w="569"/>
        <w:gridCol w:w="569"/>
        <w:gridCol w:w="571"/>
        <w:gridCol w:w="979"/>
        <w:gridCol w:w="979"/>
        <w:gridCol w:w="981"/>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Onshore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Oil Production</w:t>
            </w:r>
            <w:r>
              <w:rPr>
                <w:color w:val="000000"/>
              </w:rPr>
              <w:t xml:space="preserve"> </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(BOPD)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Total Production (BOEPD)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26,900</w:t>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58,100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4,700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6,600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pPr>
      <w:r>
        <w:rPr>
          <w:rFonts w:ascii="Avenir Next LT Pro;sans-serif" w:hAnsi="Avenir Next LT Pro;sans-serif"/>
          <w:b/>
          <w:color w:val="000000"/>
          <w:sz w:val="24"/>
        </w:rPr>
        <w:t>Eagle Ford Shale</w:t>
      </w:r>
      <w:r>
        <w:rPr>
          <w:color w:val="000000"/>
        </w:rPr>
        <w:t xml:space="preserve"> – </w:t>
      </w:r>
      <w:r>
        <w:rPr>
          <w:rFonts w:ascii="Avenir Next LT Pro;sans-serif" w:hAnsi="Avenir Next LT Pro;sans-serif"/>
          <w:b w:val="false"/>
          <w:color w:val="000000"/>
          <w:sz w:val="24"/>
        </w:rPr>
        <w:t xml:space="preserve">Brought online six new wells in Catarina, with an additional eight operated Catarina wells and six non-operated Tilden wells coming online subsequent to quarter end. </w:t>
      </w:r>
    </w:p>
    <w:p>
      <w:pPr>
        <w:pStyle w:val="TextBody"/>
        <w:bidi w:val="0"/>
        <w:spacing w:lineRule="auto" w:line="300" w:before="200" w:after="200"/>
        <w:jc w:val="both"/>
        <w:rPr/>
      </w:pPr>
      <w:r>
        <w:rPr>
          <w:rFonts w:ascii="Avenir Next LT Pro;sans-serif" w:hAnsi="Avenir Next LT Pro;sans-serif"/>
          <w:b/>
          <w:color w:val="000000"/>
          <w:sz w:val="24"/>
        </w:rPr>
        <w:t>Onshore Canada</w:t>
      </w:r>
      <w:r>
        <w:rPr>
          <w:color w:val="000000"/>
        </w:rPr>
        <w:t xml:space="preserve"> – </w:t>
      </w:r>
      <w:r>
        <w:rPr>
          <w:rFonts w:ascii="Avenir Next LT Pro;sans-serif" w:hAnsi="Avenir Next LT Pro;sans-serif"/>
          <w:b w:val="false"/>
          <w:color w:val="000000"/>
          <w:sz w:val="24"/>
        </w:rPr>
        <w:t xml:space="preserve">Brought online a four-well pad in Kaybob Duvernay and progressed an eight-well pad in Tupper Montney, which came online subsequent to quarter end. </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OFFSHORE OPERATIONS SUMMARY</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Excluding NCI, the offshore business produced approximately 65,000 BOEPD in the second quarter of 2026, which included 88 percent liquids.</w:t>
      </w:r>
    </w:p>
    <w:tbl>
      <w:tblPr>
        <w:tblW w:w="7570" w:type="dxa"/>
        <w:jc w:val="left"/>
        <w:tblInd w:w="0" w:type="dxa"/>
        <w:tblLayout w:type="fixed"/>
        <w:tblCellMar>
          <w:top w:w="28" w:type="dxa"/>
          <w:left w:w="28" w:type="dxa"/>
          <w:bottom w:w="28" w:type="dxa"/>
          <w:right w:w="28" w:type="dxa"/>
        </w:tblCellMar>
      </w:tblPr>
      <w:tblGrid>
        <w:gridCol w:w="597"/>
        <w:gridCol w:w="525"/>
        <w:gridCol w:w="528"/>
        <w:gridCol w:w="869"/>
        <w:gridCol w:w="869"/>
        <w:gridCol w:w="871"/>
        <w:gridCol w:w="979"/>
        <w:gridCol w:w="979"/>
        <w:gridCol w:w="981"/>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Offshore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Oil Production (BOPD)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Total Production (BOEPD)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Gulf of America</w:t>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45,400</w:t>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57,100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7,900</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pPr>
      <w:r>
        <w:rPr>
          <w:rFonts w:ascii="Avenir Next LT Pro;sans-serif" w:hAnsi="Avenir Next LT Pro;sans-serif"/>
          <w:b/>
          <w:color w:val="000000"/>
          <w:sz w:val="24"/>
          <w:shd w:fill="FFFFFF" w:val="clear"/>
        </w:rPr>
        <w:t>Gulf of Am</w:t>
      </w:r>
      <w:r>
        <w:rPr>
          <w:rFonts w:ascii="Avenir Next LT Pro;sans-serif" w:hAnsi="Avenir Next LT Pro;sans-serif"/>
          <w:b/>
          <w:color w:val="000000"/>
          <w:sz w:val="24"/>
        </w:rPr>
        <w:t>erica</w:t>
      </w:r>
      <w:r>
        <w:rPr>
          <w:color w:val="000000"/>
        </w:rPr>
        <w:t xml:space="preserve"> – </w:t>
      </w:r>
      <w:r>
        <w:rPr>
          <w:rFonts w:ascii="Avenir Next LT Pro;sans-serif" w:hAnsi="Avenir Next LT Pro;sans-serif"/>
          <w:b w:val="false"/>
          <w:color w:val="000000"/>
          <w:sz w:val="24"/>
        </w:rPr>
        <w:t>Completed drilling operations and initiated completion activities at the high-impact Chinook #8 development well. The well is expected to come online in the fourth quarter of 2026 with a gross initial production rate of approximately 15 MBOEPD.</w:t>
      </w:r>
    </w:p>
    <w:p>
      <w:pPr>
        <w:pStyle w:val="TextBody"/>
        <w:bidi w:val="0"/>
        <w:spacing w:before="200" w:after="20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800"/>
                <wp:effectExtent l="0" t="0" r="0" b="0"/>
                <wp:wrapNone/>
                <wp:docPr id="8" name="Frame7"/>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p>
                  </w:txbxContent>
                </v:textbox>
                <w10:wrap type="none"/>
              </v:rect>
            </w:pict>
          </mc:Fallback>
        </mc:AlternateContent>
      </w:r>
    </w:p>
    <w:p>
      <w:pPr>
        <w:pStyle w:val="TextBody"/>
        <w:bidi w:val="0"/>
        <w:spacing w:before="200" w:after="200"/>
        <w:jc w:val="right"/>
        <w:rPr/>
      </w:pPr>
      <w:r>
        <w:rPr/>
      </w:r>
    </w:p>
    <w:p>
      <w:pPr>
        <w:pStyle w:val="TextBody"/>
        <w:bidi w:val="0"/>
        <w:spacing w:lineRule="auto" w:line="300" w:before="200" w:after="200"/>
        <w:jc w:val="both"/>
        <w:rPr/>
      </w:pPr>
      <w:r>
        <w:rPr>
          <w:rFonts w:ascii="Avenir Next LT Pro;sans-serif" w:hAnsi="Avenir Next LT Pro;sans-serif"/>
          <w:b/>
          <w:color w:val="000000"/>
          <w:sz w:val="24"/>
        </w:rPr>
        <w:t>Vietnam</w:t>
      </w:r>
      <w:r>
        <w:rPr>
          <w:color w:val="000000"/>
        </w:rPr>
        <w:t xml:space="preserve"> – </w:t>
      </w:r>
      <w:r>
        <w:rPr>
          <w:rFonts w:ascii="Avenir Next LT Pro;sans-serif" w:hAnsi="Avenir Next LT Pro;sans-serif"/>
          <w:b w:val="false"/>
          <w:color w:val="000000"/>
          <w:sz w:val="24"/>
        </w:rPr>
        <w:t>Successfully installed the pipelines and launched the FSO at the Lac Da Vang development project. Subsequent to quarter end, the topsides were installed and the FSO was mobilized to its final destination. The project remains on track and is expected to achieve first oil in the fourth quarter of this year.</w:t>
      </w:r>
    </w:p>
    <w:p>
      <w:pPr>
        <w:pStyle w:val="TextBody"/>
        <w:bidi w:val="0"/>
        <w:spacing w:lineRule="auto" w:line="240"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PRODUCTION AND CAPITAL EXPENDITURE GUIDANCE</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The table below illustrates third quarter and full year 2026 guidance.</w:t>
      </w:r>
    </w:p>
    <w:tbl>
      <w:tblPr>
        <w:tblW w:w="10205" w:type="dxa"/>
        <w:jc w:val="left"/>
        <w:tblInd w:w="0" w:type="dxa"/>
        <w:tblLayout w:type="fixed"/>
        <w:tblCellMar>
          <w:top w:w="28" w:type="dxa"/>
          <w:left w:w="28" w:type="dxa"/>
          <w:bottom w:w="28" w:type="dxa"/>
          <w:right w:w="28" w:type="dxa"/>
        </w:tblCellMar>
      </w:tblPr>
      <w:tblGrid>
        <w:gridCol w:w="677"/>
        <w:gridCol w:w="595"/>
        <w:gridCol w:w="595"/>
        <w:gridCol w:w="595"/>
        <w:gridCol w:w="595"/>
        <w:gridCol w:w="597"/>
        <w:gridCol w:w="421"/>
        <w:gridCol w:w="421"/>
        <w:gridCol w:w="425"/>
        <w:gridCol w:w="131"/>
        <w:gridCol w:w="131"/>
        <w:gridCol w:w="131"/>
        <w:gridCol w:w="366"/>
        <w:gridCol w:w="366"/>
        <w:gridCol w:w="368"/>
        <w:gridCol w:w="131"/>
        <w:gridCol w:w="131"/>
        <w:gridCol w:w="131"/>
        <w:gridCol w:w="557"/>
        <w:gridCol w:w="557"/>
        <w:gridCol w:w="559"/>
        <w:gridCol w:w="131"/>
        <w:gridCol w:w="131"/>
        <w:gridCol w:w="131"/>
        <w:gridCol w:w="386"/>
        <w:gridCol w:w="386"/>
        <w:gridCol w:w="560"/>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300" w:before="200" w:after="20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3Q 2026 Guidance </w:t>
            </w:r>
          </w:p>
        </w:tc>
      </w:tr>
      <w:tr>
        <w:trPr/>
        <w:tc>
          <w:tcPr>
            <w:tcW w:w="36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Producing Asset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Oil</w:t>
              <w:br/>
              <w:t>(BOPD)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NGLs</w:t>
              <w:br/>
              <w:t>(BOPD)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Natural Gas</w:t>
              <w:br/>
              <w:t>(MCFD)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br/>
              <w:t>(BOEPD)</w:t>
            </w:r>
          </w:p>
        </w:tc>
      </w:tr>
      <w:tr>
        <w:trPr/>
        <w:tc>
          <w:tcPr>
            <w:tcW w:w="36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28,400</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6,400</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33,100</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40,300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Gulf of America, excl. NCI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38,800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39,900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48,800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436,000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72,800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9,500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6,000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Offshore Canada</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6,900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6,900</w:t>
            </w:r>
          </w:p>
        </w:tc>
      </w:tr>
      <w:tr>
        <w:trPr/>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200</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Net Production, excl. NCI </w:t>
            </w:r>
            <w:r>
              <w:rPr>
                <w:rFonts w:ascii="Avenir Next LT Pro;sans-serif" w:hAnsi="Avenir Next LT Pro;sans-serif"/>
                <w:b w:val="false"/>
                <w:color w:val="000000"/>
                <w:sz w:val="13"/>
              </w:rPr>
              <w:t>1</w:t>
            </w:r>
            <w:r>
              <w:rPr>
                <w:color w:val="000000"/>
              </w:rPr>
              <w:t xml:space="preserve"> </w:t>
            </w:r>
            <w:r>
              <w:rPr>
                <w:rFonts w:ascii="Avenir Next LT Pro;sans-serif" w:hAnsi="Avenir Next LT Pro;sans-serif"/>
                <w:b w:val="false"/>
                <w:color w:val="000000"/>
                <w:sz w:val="20"/>
              </w:rPr>
              <w:t>(BOEPD)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171,000 to 179,000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Capital Expenditures, excl. NCI </w:t>
            </w:r>
            <w:r>
              <w:rPr>
                <w:rFonts w:ascii="Avenir Next LT Pro;sans-serif" w:hAnsi="Avenir Next LT Pro;sans-serif"/>
                <w:b w:val="false"/>
                <w:color w:val="000000"/>
                <w:sz w:val="13"/>
              </w:rPr>
              <w:t xml:space="preserve">2 </w:t>
            </w:r>
            <w:r>
              <w:rPr>
                <w:rFonts w:ascii="Avenir Next LT Pro;sans-serif" w:hAnsi="Avenir Next LT Pro;sans-serif"/>
                <w:b w:val="false"/>
                <w:color w:val="000000"/>
                <w:sz w:val="20"/>
              </w:rPr>
              <w:t>($ MM)</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$380 - $460</w:t>
            </w:r>
          </w:p>
        </w:tc>
      </w:tr>
      <w:tr>
        <w:trPr/>
        <w:tc>
          <w:tcPr>
            <w:tcW w:w="492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 </w:t>
            </w:r>
            <w:r>
              <w:rPr>
                <w:rFonts w:ascii="Avenir Next LT Pro;sans-serif" w:hAnsi="Avenir Next LT Pro;sans-serif"/>
                <w:b w:val="false"/>
                <w:color w:val="000000"/>
                <w:sz w:val="13"/>
              </w:rPr>
              <w:t xml:space="preserve">3 </w:t>
            </w:r>
            <w:r>
              <w:rPr>
                <w:rFonts w:ascii="Avenir Next LT Pro;sans-serif" w:hAnsi="Avenir Next LT Pro;sans-serif"/>
                <w:b w:val="false"/>
                <w:color w:val="000000"/>
                <w:sz w:val="20"/>
              </w:rPr>
              <w:t xml:space="preserve">($ MM)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$135</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Full Year 2026 Guidance</w:t>
            </w:r>
          </w:p>
        </w:tc>
      </w:tr>
      <w:tr>
        <w:trPr/>
        <w:tc>
          <w:tcPr>
            <w:tcW w:w="49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Net Production, excl. NCI </w:t>
            </w:r>
            <w:r>
              <w:rPr>
                <w:rFonts w:ascii="Avenir Next LT Pro;sans-serif" w:hAnsi="Avenir Next LT Pro;sans-serif"/>
                <w:b w:val="false"/>
                <w:color w:val="000000"/>
                <w:sz w:val="13"/>
              </w:rPr>
              <w:t xml:space="preserve">4 </w:t>
            </w:r>
            <w:r>
              <w:rPr>
                <w:rFonts w:ascii="Avenir Next LT Pro;sans-serif" w:hAnsi="Avenir Next LT Pro;sans-serif"/>
                <w:b w:val="false"/>
                <w:color w:val="000000"/>
                <w:sz w:val="20"/>
              </w:rPr>
              <w:t xml:space="preserve">(BOEPD)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167,000 to 175,000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Capital Expenditures, excl. NCI </w:t>
            </w:r>
            <w:r>
              <w:rPr>
                <w:rFonts w:ascii="Avenir Next LT Pro;sans-serif" w:hAnsi="Avenir Next LT Pro;sans-serif"/>
                <w:b w:val="false"/>
                <w:color w:val="000000"/>
                <w:sz w:val="13"/>
              </w:rPr>
              <w:t>5</w:t>
            </w:r>
            <w:r>
              <w:rPr>
                <w:color w:val="000000"/>
              </w:rPr>
              <w:t xml:space="preserve"> </w:t>
            </w:r>
            <w:r>
              <w:rPr>
                <w:rFonts w:ascii="Avenir Next LT Pro;sans-serif" w:hAnsi="Avenir Next LT Pro;sans-serif"/>
                <w:b w:val="false"/>
                <w:color w:val="000000"/>
                <w:sz w:val="20"/>
              </w:rPr>
              <w:t>($ MM)</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$1,500 to $1,600</w:t>
            </w:r>
          </w:p>
        </w:tc>
      </w:tr>
      <w:tr>
        <w:trPr/>
        <w:tc>
          <w:tcPr>
            <w:tcW w:w="492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 </w:t>
            </w:r>
            <w:r>
              <w:rPr>
                <w:rFonts w:ascii="Avenir Next LT Pro;sans-serif" w:hAnsi="Avenir Next LT Pro;sans-serif"/>
                <w:b w:val="false"/>
                <w:color w:val="000000"/>
                <w:sz w:val="13"/>
              </w:rPr>
              <w:t xml:space="preserve">6 </w:t>
            </w:r>
            <w:r>
              <w:rPr>
                <w:rFonts w:ascii="Avenir Next LT Pro;sans-serif" w:hAnsi="Avenir Next LT Pro;sans-serif"/>
                <w:b w:val="false"/>
                <w:color w:val="000000"/>
                <w:sz w:val="20"/>
              </w:rPr>
              <w:t xml:space="preserve">($ MM)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$300</w:t>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1"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noncontrolling interest of MP GOM of 4,800 BOPD of oil, 200 BOPD of NGLs and 1,800 MCFD natural gas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Excludes noncontrolling interest of MP GOM of $20 million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 xml:space="preserve">3 </w:t>
            </w:r>
            <w:r>
              <w:rPr>
                <w:rFonts w:ascii="Avenir Next LT Pro;sans-serif" w:hAnsi="Avenir Next LT Pro;sans-serif"/>
                <w:b w:val="false"/>
                <w:color w:val="000000"/>
                <w:sz w:val="18"/>
              </w:rPr>
              <w:t>Includes assumed dry hole expense of $100 MM in 3Q 2026</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4</w:t>
            </w:r>
            <w:r>
              <w:rPr>
                <w:color w:val="000000"/>
              </w:rPr>
              <w:t xml:space="preserve"> </w:t>
            </w:r>
            <w:r>
              <w:rPr>
                <w:rFonts w:ascii="Avenir Next LT Pro;sans-serif" w:hAnsi="Avenir Next LT Pro;sans-serif"/>
                <w:b w:val="false"/>
                <w:color w:val="000000"/>
                <w:sz w:val="18"/>
              </w:rPr>
              <w:t>Excludes noncontrolling interest of MP GOM of 5,500 BOPD of oil, 200 BOPD of NGLs and 1,700 MCFD natural gas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5</w:t>
            </w:r>
            <w:r>
              <w:rPr>
                <w:color w:val="000000"/>
              </w:rPr>
              <w:t xml:space="preserve"> </w:t>
            </w:r>
            <w:r>
              <w:rPr>
                <w:rFonts w:ascii="Avenir Next LT Pro;sans-serif" w:hAnsi="Avenir Next LT Pro;sans-serif"/>
                <w:b w:val="false"/>
                <w:color w:val="000000"/>
                <w:sz w:val="18"/>
              </w:rPr>
              <w:t>Excludes noncontrolling interest of MP GOM of $65 million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40"/>
              <w:ind w:left="0" w:right="0" w:hanging="86"/>
              <w:jc w:val="left"/>
              <w:rPr/>
            </w:pPr>
            <w:r>
              <w:rPr>
                <w:rFonts w:ascii="Avenir Next LT Pro;sans-serif" w:hAnsi="Avenir Next LT Pro;sans-serif"/>
                <w:b w:val="false"/>
                <w:color w:val="000000"/>
                <w:sz w:val="12"/>
              </w:rPr>
              <w:t xml:space="preserve">6 </w:t>
            </w:r>
            <w:r>
              <w:rPr>
                <w:rFonts w:ascii="Avenir Next LT Pro;sans-serif" w:hAnsi="Avenir Next LT Pro;sans-serif"/>
                <w:b w:val="false"/>
                <w:color w:val="000000"/>
                <w:sz w:val="18"/>
              </w:rPr>
              <w:t>Includes dry hole expense of $80 MM in 1H 2026, and assumed dry hole expense of $100 MM for 2H 2026</w:t>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300" w:before="200" w:after="200"/>
        <w:jc w:val="both"/>
        <w:rPr>
          <w:rFonts w:ascii="Avenir Next LT Pro;sans-serif" w:hAnsi="Avenir Next LT Pro;sans-serif"/>
          <w:b w:val="false"/>
          <w:color w:val="000000"/>
          <w:sz w:val="24"/>
          <w:shd w:fill="FFFFFF" w:val="clear"/>
        </w:rPr>
      </w:pPr>
      <w:r>
        <w:rPr>
          <w:rFonts w:ascii="Avenir Next LT Pro;sans-serif" w:hAnsi="Avenir Next LT Pro;sans-serif"/>
          <w:b w:val="false"/>
          <w:color w:val="000000"/>
          <w:sz w:val="24"/>
          <w:shd w:fill="FFFFFF" w:val="clear"/>
        </w:rPr>
        <w:t>The table below details the 2026 onshore well delivery plan by quarter.</w:t>
      </w:r>
    </w:p>
    <w:tbl>
      <w:tblPr>
        <w:tblW w:w="9452" w:type="dxa"/>
        <w:jc w:val="left"/>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389"/>
        <w:gridCol w:w="389"/>
        <w:gridCol w:w="391"/>
        <w:gridCol w:w="389"/>
        <w:gridCol w:w="389"/>
        <w:gridCol w:w="391"/>
        <w:gridCol w:w="384"/>
        <w:gridCol w:w="384"/>
        <w:gridCol w:w="386"/>
        <w:gridCol w:w="384"/>
        <w:gridCol w:w="384"/>
        <w:gridCol w:w="386"/>
        <w:gridCol w:w="469"/>
        <w:gridCol w:w="469"/>
        <w:gridCol w:w="471"/>
        <w:gridCol w:w="127"/>
        <w:gridCol w:w="127"/>
        <w:gridCol w:w="127"/>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2026 Onshore Wells Online</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1Q 2026A</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2Q 2026A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3Q 2026E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4Q 2026E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2026E Total</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Eagle Ford Shale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Kaybob Duvernay</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Tupper Montney</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0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Non-Op Eagle Ford Shale</w:t>
            </w:r>
          </w:p>
        </w:tc>
        <w:tc>
          <w:tcPr>
            <w:tcW w:w="116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c>
        <w:tc>
          <w:tcPr>
            <w:tcW w:w="140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40" w:after="40"/>
        <w:ind w:left="0" w:right="0" w:hanging="27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 xml:space="preserve">Note: All well counts are shown gross. Eagle Ford Shale non-operated working interest </w:t>
      </w:r>
    </w:p>
    <w:p>
      <w:pPr>
        <w:pStyle w:val="TextBody"/>
        <w:bidi w:val="0"/>
        <w:spacing w:lineRule="auto" w:line="300" w:before="40" w:after="40"/>
        <w:ind w:left="0" w:right="0" w:hanging="270"/>
        <w:jc w:val="left"/>
        <w:rPr/>
      </w:pPr>
      <w:r>
        <w:rPr>
          <w:rFonts w:ascii="Avenir Next LT Pro;sans-serif" w:hAnsi="Avenir Next LT Pro;sans-serif"/>
          <w:b w:val="false"/>
          <w:color w:val="000000"/>
          <w:sz w:val="18"/>
          <w:shd w:fill="FFFFFF" w:val="clear"/>
        </w:rPr>
        <w:t>averag</w:t>
      </w:r>
      <w:r>
        <w:rPr>
          <w:rFonts w:ascii="Avenir Next LT Pro;sans-serif" w:hAnsi="Avenir Next LT Pro;sans-serif"/>
          <w:b w:val="false"/>
          <w:color w:val="000000"/>
          <w:sz w:val="18"/>
        </w:rPr>
        <w:t>es 23 percent.</w:t>
      </w:r>
    </w:p>
    <w:p>
      <w:pPr>
        <w:pStyle w:val="TextBody"/>
        <w:bidi w:val="0"/>
        <w:spacing w:before="200" w:after="20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800"/>
                <wp:effectExtent l="0" t="0" r="0" b="0"/>
                <wp:wrapNone/>
                <wp:docPr id="9" name="Frame8"/>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CONFERENCE CALL AND WEBCAST SCHEDULED FOR AUGUST 6, 2026</w:t>
      </w:r>
    </w:p>
    <w:p>
      <w:pPr>
        <w:pStyle w:val="TextBody"/>
        <w:bidi w:val="0"/>
        <w:spacing w:lineRule="auto" w:line="300" w:before="200" w:after="200"/>
        <w:jc w:val="both"/>
        <w:rPr/>
      </w:pPr>
      <w:r>
        <w:rPr>
          <w:rFonts w:ascii="Avenir Next LT Pro;sans-serif" w:hAnsi="Avenir Next LT Pro;sans-serif"/>
          <w:b w:val="false"/>
          <w:color w:val="000000"/>
          <w:sz w:val="24"/>
        </w:rPr>
        <w:t>Murphy will host a conference call to discuss second quarter 2026 financial and operating results on Thursday, August 6, 2026, at 9:00 a.m. ET. The call can be accessed either via the Internet through the events calendar on the Murphy Oil Corporation Investor Relations website at http://ir.murphyoilcorp.com or via telephone by dialing toll fr</w:t>
      </w:r>
      <w:r>
        <w:rPr>
          <w:rFonts w:ascii="Avenir Next LT Pro;sans-serif" w:hAnsi="Avenir Next LT Pro;sans-serif"/>
          <w:b w:val="false"/>
          <w:color w:val="000000"/>
          <w:sz w:val="24"/>
          <w:shd w:fill="FFFFFF" w:val="clear"/>
        </w:rPr>
        <w:t xml:space="preserve">ee 833-461-5787, conference ID 127579651. </w:t>
      </w:r>
      <w:r>
        <w:rPr>
          <w:rFonts w:ascii="Avenir Next LT Pro;sans-serif" w:hAnsi="Avenir Next LT Pro;sans-serif"/>
          <w:b w:val="false"/>
          <w:color w:val="000000"/>
          <w:sz w:val="24"/>
        </w:rPr>
        <w:t>For additional information, please refer to the Second Quarter 2026 Earnings Presentation and Quarterly Stockholder Update available under the News and Events section of the Investor Relations website.</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DATA</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Summary financial data and operating statistics for second quarter 2026, with comparisons to the same period from the previous year, are contained in the attached schedules. Additionally, a schedule indicating the impacts of items affecting comparability of results between periods and a reconciliation of the non-GAAP financial measures of adjusted net income from continuing operations attributable to Murphy, EBITDA, EBITDAX, adjusted EBITDA, adjusted EBITDAX, free cash flow and adjusted free cash flow to the most directly comparable GAAP financial measures for such periods are also included.</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ABOUT MURPHY OIL CORPORATION</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 is an independent oil and natural gas company with a multi-basin onshore and offshore portfolio and significant exploration opportunities. The Company has more than a century-long history of demonstrating strong execution and innovative, full-cycle development capabilities with a focus on value creation that drives shareholder returns. Murphy’s foresight and financial discipline, along with its culture of adaptability and accountability, will allow the Company to continue its outstanding legacy and exceptional reputation. The Company’s current operations include extensive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 Additional information can be found on the Company’s website at www.murphyoilcorp.com.</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FORWARD-LOOKING STATEMENTS</w:t>
      </w:r>
    </w:p>
    <w:p>
      <w:pPr>
        <w:pStyle w:val="TextBody"/>
        <w:bidi w:val="0"/>
        <w:spacing w:lineRule="auto" w:line="276"/>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 xml:space="preserve">This news release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w:t>
      </w:r>
    </w:p>
    <w:p>
      <w:pPr>
        <w:pStyle w:val="TextBody"/>
        <w:bidi w:val="0"/>
        <w:spacing w:before="200" w:after="20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800"/>
                <wp:effectExtent l="0" t="0" r="0" b="0"/>
                <wp:wrapNone/>
                <wp:docPr id="10" name="Frame9"/>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p>
                  </w:txbxContent>
                </v:textbox>
                <w10:wrap type="none"/>
              </v:rect>
            </w:pict>
          </mc:Fallback>
        </mc:AlternateContent>
      </w:r>
    </w:p>
    <w:p>
      <w:pPr>
        <w:pStyle w:val="TextBody"/>
        <w:bidi w:val="0"/>
        <w:spacing w:before="200" w:after="200"/>
        <w:jc w:val="right"/>
        <w:rPr/>
      </w:pPr>
      <w:r>
        <w:rPr/>
      </w:r>
    </w:p>
    <w:p>
      <w:pPr>
        <w:pStyle w:val="TextBody"/>
        <w:bidi w:val="0"/>
        <w:spacing w:lineRule="auto" w:line="276" w:before="0" w:after="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news release. Each forward-looking statement contained in this news release speaks only as of the date of this news release. Except as required by applicable law, Murphy Oil Corporation undertakes no duty to publicly update or revise any forward-looking statement, whether as a result of new information, future events or otherwise.</w:t>
      </w:r>
    </w:p>
    <w:p>
      <w:pPr>
        <w:pStyle w:val="TextBody"/>
        <w:bidi w:val="0"/>
        <w:spacing w:lineRule="auto" w:line="288" w:before="200" w:after="200"/>
        <w:jc w:val="both"/>
        <w:rPr>
          <w:rFonts w:ascii="Avenir Next LT Pro;sans-serif" w:hAnsi="Avenir Next LT Pro;sans-serif"/>
          <w:b/>
          <w:color w:val="000000"/>
          <w:sz w:val="24"/>
        </w:rPr>
      </w:pPr>
      <w:r>
        <w:rPr>
          <w:rFonts w:ascii="Avenir Next LT Pro;sans-serif" w:hAnsi="Avenir Next LT Pro;sans-serif"/>
          <w:b/>
          <w:color w:val="000000"/>
          <w:sz w:val="24"/>
        </w:rPr>
        <w:t>NON-GAAP FINANCIAL MEASURES</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This news release contains certain non-GAAP financial measures that management believes are useful tools for internal use and the investment community in evaluating </w:t>
      </w:r>
    </w:p>
    <w:p>
      <w:pPr>
        <w:pStyle w:val="TextBody"/>
        <w:bidi w:val="0"/>
        <w:spacing w:before="200" w:after="20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800"/>
                <wp:effectExtent l="0" t="0" r="0" b="0"/>
                <wp:wrapNone/>
                <wp:docPr id="11" name="Frame10"/>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p>
                  </w:txbxContent>
                </v:textbox>
                <w10:wrap type="none"/>
              </v:rect>
            </w:pict>
          </mc:Fallback>
        </mc:AlternateContent>
      </w:r>
    </w:p>
    <w:p>
      <w:pPr>
        <w:pStyle w:val="TextBody"/>
        <w:bidi w:val="0"/>
        <w:spacing w:before="200" w:after="200"/>
        <w:jc w:val="right"/>
        <w:rPr/>
      </w:pPr>
      <w:r>
        <w:rPr/>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Corporation’s overall financial performance. These non-GAAP financial measures are broadly used to value and compare companies in the crude oil and natural gas industry. Not all companies define these measures in the same way. In addition, these non-GAAP financial measures are not a substitute for financial measures prepared in accordance with US generally accepted accounting principles (GAAP) and should therefore be considered only as supplemental to such GAAP financial measures. Please see the attached schedules for reconciliations of the differences between the non-GAAP financial measures used in this news release and the most directly comparable GAAP financial measures.</w:t>
      </w:r>
    </w:p>
    <w:p>
      <w:pPr>
        <w:pStyle w:val="TextBody"/>
        <w:bidi w:val="0"/>
        <w:spacing w:lineRule="auto" w:line="300" w:before="200" w:after="200"/>
        <w:jc w:val="both"/>
        <w:rPr/>
      </w:pPr>
      <w:r>
        <w:rPr>
          <w:color w:val="000000"/>
        </w:rPr>
        <w:t xml:space="preserve">† </w:t>
      </w:r>
      <w:r>
        <w:rPr>
          <w:rFonts w:ascii="Avenir Next LT Pro;sans-serif" w:hAnsi="Avenir Next LT Pro;sans-serif"/>
          <w:b w:val="false"/>
          <w:i/>
          <w:color w:val="000000"/>
          <w:sz w:val="24"/>
        </w:rPr>
        <w:t>In accordance with GAAP, Murphy reports the 100 percent interest, including a 20 percent noncontrolling interest (NCI), in its subsidiary, MP Gulf of Mexico, LLC (MP GOM). The GAAP financials include the NCI portion of revenue, costs, assets and liabilities and cash flows. Unless otherwise noted, the financial and operating highlights and metrics discussed in this news release, but not the accompanying schedules, exclude the NCI, thereby representing only the amounts attributable to Murphy.</w:t>
      </w:r>
    </w:p>
    <w:tbl>
      <w:tblPr>
        <w:tblW w:w="4889" w:type="dxa"/>
        <w:jc w:val="center"/>
        <w:tblInd w:w="0" w:type="dxa"/>
        <w:tblLayout w:type="fixed"/>
        <w:tblCellMar>
          <w:top w:w="28" w:type="dxa"/>
          <w:left w:w="28" w:type="dxa"/>
          <w:bottom w:w="28" w:type="dxa"/>
          <w:right w:w="28" w:type="dxa"/>
        </w:tblCellMar>
      </w:tblPr>
      <w:tblGrid>
        <w:gridCol w:w="1563"/>
        <w:gridCol w:w="1374"/>
        <w:gridCol w:w="1952"/>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venir Next LT Pro;sans-serif" w:hAnsi="Avenir Next LT Pro;sans-serif"/>
                <w:b/>
                <w:color w:val="000000"/>
                <w:sz w:val="24"/>
              </w:rPr>
            </w:pPr>
            <w:r>
              <w:rPr>
                <w:rFonts w:ascii="Avenir Next LT Pro;sans-serif" w:hAnsi="Avenir Next LT Pro;sans-serif"/>
                <w:b/>
                <w:color w:val="000000"/>
                <w:sz w:val="24"/>
              </w:rPr>
              <w:t xml:space="preserve">Investor Contacts: </w:t>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InvestorRelations@murphyoilcorp.com </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Atif Riaz, 281-675-9358</w:t>
            </w:r>
          </w:p>
        </w:tc>
      </w:tr>
      <w:tr>
        <w:trPr/>
        <w:tc>
          <w:tcPr>
            <w:tcW w:w="488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Beth Heller, 281-675-9363</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800"/>
                <wp:effectExtent l="0" t="0" r="0" b="0"/>
                <wp:wrapNone/>
                <wp:docPr id="12" name="Frame11"/>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CONSOLIDATED STATEMENTS OF OPERATIONS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55"/>
        <w:gridCol w:w="983"/>
        <w:gridCol w:w="985"/>
        <w:gridCol w:w="241"/>
        <w:gridCol w:w="1051"/>
        <w:gridCol w:w="109"/>
        <w:gridCol w:w="109"/>
        <w:gridCol w:w="109"/>
        <w:gridCol w:w="109"/>
        <w:gridCol w:w="226"/>
        <w:gridCol w:w="946"/>
        <w:gridCol w:w="109"/>
        <w:gridCol w:w="109"/>
        <w:gridCol w:w="109"/>
        <w:gridCol w:w="109"/>
        <w:gridCol w:w="241"/>
        <w:gridCol w:w="1261"/>
        <w:gridCol w:w="109"/>
        <w:gridCol w:w="109"/>
        <w:gridCol w:w="109"/>
        <w:gridCol w:w="109"/>
        <w:gridCol w:w="226"/>
        <w:gridCol w:w="1126"/>
        <w:gridCol w:w="156"/>
      </w:tblGrid>
      <w:tr>
        <w:trPr/>
        <w:tc>
          <w:tcPr>
            <w:tcW w:w="145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4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926,332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683,065 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1,658,686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1,355,795 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926,332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683,065 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1,658,686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1,355,795 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derivative instruments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operating income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1,975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3,173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4,137 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928,307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1,661,859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1,361,281 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143,719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215,554 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287,183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420,633 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14,991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28,737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45,274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54,070 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92,335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102,921 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39,303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122,118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24,887 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38,670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73,540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67,834 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262,106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259,324 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516,482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453,484 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14,870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29,384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28,477 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14,706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19,147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7,462 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573,639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603,359 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1,168,926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1,125,176 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354,668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92,211 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492,933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236,105 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income (loss)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 (loss)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11,247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21,099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(29,902)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(24,917)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(53,894)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(48,576)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(13,670)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(32,795)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(78,478)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 before income taxes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340,998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460,138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157,627 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77,030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126,975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33,754 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263,968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33,822 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333,163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123,873 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 net of income taxes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(979)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263,531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332,184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124,542 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attributable to noncontrolling interest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31,356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29,226 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ATTRIBUTABLE TO MURPHY</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232,175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285,161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95,316 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BASIC</w:t>
            </w:r>
          </w:p>
        </w:tc>
        <w:tc>
          <w:tcPr>
            <w:tcW w:w="140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(LOSS) PER COMMON SHARE – DILUTED</w:t>
            </w:r>
          </w:p>
        </w:tc>
        <w:tc>
          <w:tcPr>
            <w:tcW w:w="140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(0.01)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24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0.350</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0.325 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26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0.700</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0.650 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143,351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142,721 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143,216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143,502 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146,149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145,894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800"/>
                <wp:effectExtent l="0" t="0" r="0" b="0"/>
                <wp:wrapNone/>
                <wp:docPr id="13" name="Frame12"/>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CONSOLIDATED STATEMENTS OF CASH FLOWS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01"/>
        <w:gridCol w:w="1155"/>
        <w:gridCol w:w="1158"/>
        <w:gridCol w:w="241"/>
        <w:gridCol w:w="1051"/>
        <w:gridCol w:w="109"/>
        <w:gridCol w:w="109"/>
        <w:gridCol w:w="109"/>
        <w:gridCol w:w="109"/>
        <w:gridCol w:w="226"/>
        <w:gridCol w:w="946"/>
        <w:gridCol w:w="109"/>
        <w:gridCol w:w="109"/>
        <w:gridCol w:w="109"/>
        <w:gridCol w:w="109"/>
        <w:gridCol w:w="241"/>
        <w:gridCol w:w="1051"/>
        <w:gridCol w:w="109"/>
        <w:gridCol w:w="109"/>
        <w:gridCol w:w="109"/>
        <w:gridCol w:w="109"/>
        <w:gridCol w:w="226"/>
        <w:gridCol w:w="946"/>
        <w:gridCol w:w="155"/>
      </w:tblGrid>
      <w:tr>
        <w:trPr/>
        <w:tc>
          <w:tcPr>
            <w:tcW w:w="150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Six Months Ended</w:t>
              <w:br/>
              <w:t>June 30,</w:t>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2025 </w:t>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263,531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332,184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124,542 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262,106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259,324 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516,482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453,484 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13,542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80,585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(776)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55,685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92,549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21,216 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14,870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29,384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28,477 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10,260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25,693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22,016 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2,565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loss from discontinued operations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Unrealized gain on derivative instruments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(10,287)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(1,371)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(34,540)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(65,121)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non-cash working capital</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67,495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(40,477)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7,905 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655,951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358,050 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977,093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658,731 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(478,363)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(309,641)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(866,159)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(678,043)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Acquisition of oil and natural gas properties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(23,513)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(1,383)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(479,195)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(309,641)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(889,672)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(679,426)</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of debt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(227,489)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Early redemption of debt cost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500,000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 cost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250,000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425,000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350,000 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(250,000)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(525,000)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(150,000)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revolving credit facility</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(61)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(12,274)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 including excise tax</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(777)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(102,620)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(50,171)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(46,386)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(100,344)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(93,412)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(21,164)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(21,164)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(18,165)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(7,654)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(870)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 financing activities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(71,847)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(60,513)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19,045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(22,355)</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213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(888)</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105,122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(13,283)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106,679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(43,938)</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378,753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392,914 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377,196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423,569 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483,875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379,631 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483,875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379,631 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800"/>
                <wp:effectExtent l="0" t="0" r="0" b="0"/>
                <wp:wrapNone/>
                <wp:docPr id="14" name="Frame13"/>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CONDENSED CONSOLIDATED BALANCE SHEETS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53" w:type="dxa"/>
        <w:jc w:val="center"/>
        <w:tblInd w:w="0" w:type="dxa"/>
        <w:tblLayout w:type="fixed"/>
        <w:tblCellMar>
          <w:top w:w="28" w:type="dxa"/>
          <w:left w:w="28" w:type="dxa"/>
          <w:bottom w:w="28" w:type="dxa"/>
          <w:right w:w="28" w:type="dxa"/>
        </w:tblCellMar>
      </w:tblPr>
      <w:tblGrid>
        <w:gridCol w:w="1841"/>
        <w:gridCol w:w="1619"/>
        <w:gridCol w:w="1625"/>
        <w:gridCol w:w="241"/>
        <w:gridCol w:w="1396"/>
        <w:gridCol w:w="109"/>
        <w:gridCol w:w="109"/>
        <w:gridCol w:w="109"/>
        <w:gridCol w:w="109"/>
        <w:gridCol w:w="254"/>
        <w:gridCol w:w="1268"/>
        <w:gridCol w:w="173"/>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7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December 31,</w:t>
              <w:br/>
              <w:t>2025</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ASSETS</w:t>
            </w:r>
          </w:p>
        </w:tc>
        <w:tc>
          <w:tcPr>
            <w:tcW w:w="17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cash equivalents</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483,875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377,196 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current assets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542,967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439,516 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1,026,842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816,712 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Property, plant and equipment, net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8,434,791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8,136,346 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 assets, net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702,528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805,464 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long-term assets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113,973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74,104 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assets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10,278,134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9,832,626 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LIABILITIES AND EQUITY</w:t>
            </w:r>
          </w:p>
        </w:tc>
        <w:tc>
          <w:tcPr>
            <w:tcW w:w="17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maturities of long-term debt, finance lease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2,578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Accounts payable</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671,238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572,183 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lease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280,162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278,834 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current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248,387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209,218 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1,202,365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1,062,749 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 including finance lease obligation</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1,547,864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1,382,566 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obligations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981,355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970,908 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operating lease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433,128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537,773 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long-term liabilities</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710,232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641,933 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liabilities</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4,874,944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4,595,929 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5,259,014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5,118,380 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6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144,176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118,317 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liabilities and equity</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10,278,134</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9,832,626 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40"/>
        <w:ind w:left="0" w:right="0" w:hanging="86"/>
        <w:jc w:val="left"/>
        <w:rPr/>
      </w:pPr>
      <w:r>
        <w:rPr/>
      </w:r>
    </w:p>
    <w:p>
      <w:pPr>
        <w:pStyle w:val="TextBody"/>
        <w:bidi w:val="0"/>
        <w:spacing w:before="200" w:after="200"/>
        <w:jc w:val="center"/>
        <w:rPr/>
      </w:pPr>
      <w:r>
        <w:rPr/>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800"/>
                <wp:effectExtent l="0" t="0" r="0" b="0"/>
                <wp:wrapNone/>
                <wp:docPr id="15" name="Frame14"/>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10</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ADJUSTED NET INCOME (LOSS)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51"/>
        <w:gridCol w:w="1499"/>
        <w:gridCol w:w="1503"/>
        <w:gridCol w:w="241"/>
        <w:gridCol w:w="781"/>
        <w:gridCol w:w="109"/>
        <w:gridCol w:w="109"/>
        <w:gridCol w:w="109"/>
        <w:gridCol w:w="109"/>
        <w:gridCol w:w="226"/>
        <w:gridCol w:w="586"/>
        <w:gridCol w:w="109"/>
        <w:gridCol w:w="109"/>
        <w:gridCol w:w="109"/>
        <w:gridCol w:w="109"/>
        <w:gridCol w:w="241"/>
        <w:gridCol w:w="781"/>
        <w:gridCol w:w="109"/>
        <w:gridCol w:w="109"/>
        <w:gridCol w:w="109"/>
        <w:gridCol w:w="109"/>
        <w:gridCol w:w="226"/>
        <w:gridCol w:w="706"/>
        <w:gridCol w:w="156"/>
      </w:tblGrid>
      <w:tr>
        <w:trPr/>
        <w:tc>
          <w:tcPr>
            <w:tcW w:w="195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attributable to Murphy</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286.2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on derivative instruments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(benefit) expense related to adjustments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attributable to Murphy (Non-GAAP)</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272.4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24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1.87</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0.83 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w:t>
      </w:r>
      <w:r>
        <w:rPr>
          <w:color w:val="000000"/>
        </w:rPr>
        <w:t>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0"/>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income (loss) to adjusted net income from continuing operations attributable to Murphy. Adjusted net income excludes certain items that management believes affect the comparability of results between periods. Management believes this is important information to provide because it is used by management to evaluate the Company’s operational performance and trends between periods and relative to its industry competitors. Management also believes this information may be useful to investors and analysts to gain a better understanding of the Company’s financial results. Adjusted net income is a non-GAAP financial measure and should not be considered a substitute for net income (loss) as determined in accordance with GAAP.</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pretax and income tax impacts for adjustments in the above table are shown below by area of operation and geographical location and corporate, as applicable, and exclude the share attributable to noncontrolling interests.</w:t>
      </w:r>
    </w:p>
    <w:tbl>
      <w:tblPr>
        <w:tblW w:w="10070" w:type="dxa"/>
        <w:jc w:val="center"/>
        <w:tblInd w:w="0" w:type="dxa"/>
        <w:tblLayout w:type="fixed"/>
        <w:tblCellMar>
          <w:top w:w="28" w:type="dxa"/>
          <w:left w:w="28" w:type="dxa"/>
          <w:bottom w:w="28" w:type="dxa"/>
          <w:right w:w="28" w:type="dxa"/>
        </w:tblCellMar>
      </w:tblPr>
      <w:tblGrid>
        <w:gridCol w:w="721"/>
        <w:gridCol w:w="635"/>
        <w:gridCol w:w="639"/>
        <w:gridCol w:w="274"/>
        <w:gridCol w:w="718"/>
        <w:gridCol w:w="124"/>
        <w:gridCol w:w="124"/>
        <w:gridCol w:w="124"/>
        <w:gridCol w:w="124"/>
        <w:gridCol w:w="274"/>
        <w:gridCol w:w="582"/>
        <w:gridCol w:w="124"/>
        <w:gridCol w:w="124"/>
        <w:gridCol w:w="124"/>
        <w:gridCol w:w="124"/>
        <w:gridCol w:w="274"/>
        <w:gridCol w:w="718"/>
        <w:gridCol w:w="124"/>
        <w:gridCol w:w="109"/>
        <w:gridCol w:w="109"/>
        <w:gridCol w:w="109"/>
        <w:gridCol w:w="241"/>
        <w:gridCol w:w="766"/>
        <w:gridCol w:w="109"/>
        <w:gridCol w:w="109"/>
        <w:gridCol w:w="109"/>
        <w:gridCol w:w="109"/>
        <w:gridCol w:w="241"/>
        <w:gridCol w:w="511"/>
        <w:gridCol w:w="109"/>
        <w:gridCol w:w="109"/>
        <w:gridCol w:w="109"/>
        <w:gridCol w:w="109"/>
        <w:gridCol w:w="241"/>
        <w:gridCol w:w="76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 June 30, 2026</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Pretax</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Tax</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Net</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(13.8)</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800"/>
                <wp:effectExtent l="0" t="0" r="0" b="0"/>
                <wp:wrapNone/>
                <wp:docPr id="16" name="Frame15"/>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11</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EBITDA, ADJUSTED EBITDA, EBITDAX AND ADJUSTED EBITDAX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9"/>
        <w:gridCol w:w="1451"/>
        <w:gridCol w:w="1434"/>
        <w:gridCol w:w="241"/>
        <w:gridCol w:w="781"/>
        <w:gridCol w:w="109"/>
        <w:gridCol w:w="109"/>
        <w:gridCol w:w="109"/>
        <w:gridCol w:w="109"/>
        <w:gridCol w:w="226"/>
        <w:gridCol w:w="706"/>
        <w:gridCol w:w="109"/>
        <w:gridCol w:w="109"/>
        <w:gridCol w:w="109"/>
        <w:gridCol w:w="109"/>
        <w:gridCol w:w="241"/>
        <w:gridCol w:w="991"/>
        <w:gridCol w:w="109"/>
        <w:gridCol w:w="109"/>
        <w:gridCol w:w="109"/>
        <w:gridCol w:w="109"/>
        <w:gridCol w:w="226"/>
        <w:gridCol w:w="70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254.0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500.8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 attributable to Murphy (Non-GAAP)</w:t>
            </w:r>
            <w:r>
              <w:rPr>
                <w:color w:val="000000"/>
              </w:rPr>
              <w:t xml:space="preserve"> </w:t>
            </w:r>
            <w:r>
              <w:rPr>
                <w:rFonts w:ascii="Avenir Next LT Pro;sans-serif" w:hAnsi="Avenir Next LT Pro;sans-serif"/>
                <w:b/>
                <w:color w:val="000000"/>
                <w:sz w:val="13"/>
              </w:rPr>
              <w:t>1</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EBITDAX attributable to Murphy (Non-GAAP)</w:t>
            </w:r>
            <w:r>
              <w:rPr>
                <w:color w:val="000000"/>
              </w:rPr>
              <w:t xml:space="preserve"> </w:t>
            </w:r>
            <w:r>
              <w:rPr>
                <w:rFonts w:ascii="Avenir Next LT Pro;sans-serif" w:hAnsi="Avenir Next LT Pro;sans-serif"/>
                <w:b/>
                <w:color w:val="000000"/>
                <w:sz w:val="13"/>
              </w:rPr>
              <w:t>1</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627.4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1,089.0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EBITDA attributable to Murphy (Non-GAAP)</w:t>
            </w:r>
            <w:r>
              <w:rPr>
                <w:color w:val="000000"/>
              </w:rPr>
              <w:t xml:space="preserve"> </w:t>
            </w:r>
            <w:r>
              <w:rPr>
                <w:rFonts w:ascii="Avenir Next LT Pro;sans-serif" w:hAnsi="Avenir Next LT Pro;sans-serif"/>
                <w:b/>
                <w:color w:val="000000"/>
                <w:sz w:val="13"/>
              </w:rPr>
              <w:t>1</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966.9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 loss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gain on derivative instruments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(income) loss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Adjusted EBITDA attributable to Murphy (Non-GAAP)</w:t>
            </w:r>
            <w:r>
              <w:rPr>
                <w:color w:val="000000"/>
              </w:rPr>
              <w:t xml:space="preserve"> </w:t>
            </w:r>
            <w:r>
              <w:rPr>
                <w:rFonts w:ascii="Avenir Next LT Pro;sans-serif" w:hAnsi="Avenir Next LT Pro;sans-serif"/>
                <w:b/>
                <w:color w:val="000000"/>
                <w:sz w:val="13"/>
              </w:rPr>
              <w:t>1</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592.7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975.6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673.5 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2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39.3</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122.1</w:t>
            </w: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24.8 </w:t>
            </w:r>
          </w:p>
        </w:tc>
        <w:tc>
          <w:tcPr>
            <w:tcW w:w="15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Adjusted EBITDAX attributable to Murphy </w:t>
            </w:r>
          </w:p>
          <w:p>
            <w:pPr>
              <w:pStyle w:val="TableContents"/>
              <w:bidi w:val="0"/>
              <w:spacing w:lineRule="auto" w:line="240" w:before="0" w:after="0"/>
              <w:jc w:val="left"/>
              <w:rPr/>
            </w:pPr>
            <w:r>
              <w:rPr>
                <w:rFonts w:ascii="Avenir Next LT Pro;sans-serif" w:hAnsi="Avenir Next LT Pro;sans-serif"/>
                <w:b/>
                <w:color w:val="000000"/>
                <w:sz w:val="20"/>
              </w:rPr>
              <w:t>(Non-GAAP)</w:t>
            </w:r>
            <w:r>
              <w:rPr>
                <w:color w:val="000000"/>
              </w:rPr>
              <w:t xml:space="preserve"> </w:t>
            </w:r>
            <w:r>
              <w:rPr>
                <w:rFonts w:ascii="Avenir Next LT Pro;sans-serif" w:hAnsi="Avenir Next LT Pro;sans-serif"/>
                <w:b/>
                <w:color w:val="000000"/>
                <w:sz w:val="13"/>
              </w:rPr>
              <w:t>1</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632.0</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1,097.7</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698.3 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Excludes amounts attributable to a noncontrolling interest in MP GOM.</w:t>
      </w:r>
    </w:p>
    <w:p>
      <w:pPr>
        <w:pStyle w:val="TextBody"/>
        <w:bidi w:val="0"/>
        <w:spacing w:before="40" w:after="40"/>
        <w:ind w:left="0" w:right="0" w:hanging="86"/>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income (loss) to earnings before interest, taxes, depreciation and amortization (EBITDA), adjusted EBITDA, earnings before interest, taxes, depreciation and amortization, and exploration expenses (EBITDAX) and adjusted EBITDAX. Management believes EBITDA, adjusted EBITDA, EBITDAX and adjusted EBITDAX are important information to provide because they are used by management to evaluate the Company’s operational performance and trends between periods and relative to its industry competitors. Adjusted EBITDAX excludes certain items that management believes affect the comparability of results between periods. Management also believes this information may be useful to investors and analysts to gain a better understanding of the Company’s financial results. EBITDA, adjusted EBITDA, EBITDAX and adjusted EBITDAX are non-GAAP financial measures and should not be considered a substitute for net income (loss) or cash provided by operating activities as determined in accordance with GAAP.</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800"/>
                <wp:effectExtent l="0" t="0" r="0" b="0"/>
                <wp:wrapNone/>
                <wp:docPr id="17" name="Frame16"/>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12</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SCHEDULE OF FREE CASH FLOW AND ADJUSTED FREE CASH FLOW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77"/>
        <w:gridCol w:w="1444"/>
        <w:gridCol w:w="1453"/>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64"/>
        <w:gridCol w:w="157"/>
      </w:tblGrid>
      <w:tr>
        <w:trPr/>
        <w:tc>
          <w:tcPr>
            <w:tcW w:w="187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977.1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increase (decrease) in non-cash working capital</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 excluding working capital adjustments (Non-GAAP)</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588.4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1,017.6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(478.4)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(866.2)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(27.2)</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dividends paid</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Distributions to noncontrolling interest</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Debt costs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Withholding tax on stock-based incentive awards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Acquisition of oil and natural gas properties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(23.9)</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(147.9)</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six months ended June 30, 2025 include a payment of $125.0 million for the purchase of a floating production, storage, and offloading vessel in the Gulf of America, including amounts attributable to a noncontrolling interest in MP GOM.</w:t>
      </w:r>
    </w:p>
    <w:p>
      <w:pPr>
        <w:pStyle w:val="TextBody"/>
        <w:bidi w:val="0"/>
        <w:spacing w:before="40" w:after="40"/>
        <w:ind w:left="0" w:right="0" w:hanging="86"/>
        <w:jc w:val="left"/>
        <w:rPr/>
      </w:pPr>
      <w:r>
        <w:rPr/>
      </w:r>
    </w:p>
    <w:p>
      <w:pPr>
        <w:pStyle w:val="TextBody"/>
        <w:bidi w:val="0"/>
        <w:spacing w:lineRule="auto" w:line="288" w:before="0" w:after="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Non-GAAP Financial Measures</w:t>
      </w:r>
    </w:p>
    <w:p>
      <w:pPr>
        <w:pStyle w:val="TextBody"/>
        <w:bidi w:val="0"/>
        <w:spacing w:lineRule="auto" w:line="300" w:before="200" w:after="20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Presented above is a reconciliation of net cash provided by continuing operations activities to free cash flow (FCF) and adjusted FCF. Management believes FCF and adjusted FCF are important information to provide because they are additional measures of liquidity and are used by management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over time. FCF and adjusted FCF are non-GAAP financial measures and should not be considered a substitute for net cash provided by operating, investing, or financing activities as determined in accordance with GAAP.</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800"/>
                <wp:effectExtent l="0" t="0" r="0" b="0"/>
                <wp:wrapNone/>
                <wp:docPr id="18" name="Frame17"/>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13</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FUNCTIONAL RESULTS OF OPERATIONS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23"/>
        <w:gridCol w:w="1529"/>
        <w:gridCol w:w="1537"/>
        <w:gridCol w:w="249"/>
        <w:gridCol w:w="808"/>
        <w:gridCol w:w="114"/>
        <w:gridCol w:w="109"/>
        <w:gridCol w:w="109"/>
        <w:gridCol w:w="109"/>
        <w:gridCol w:w="241"/>
        <w:gridCol w:w="781"/>
        <w:gridCol w:w="109"/>
        <w:gridCol w:w="109"/>
        <w:gridCol w:w="109"/>
        <w:gridCol w:w="109"/>
        <w:gridCol w:w="231"/>
        <w:gridCol w:w="722"/>
        <w:gridCol w:w="113"/>
        <w:gridCol w:w="109"/>
        <w:gridCol w:w="109"/>
        <w:gridCol w:w="109"/>
        <w:gridCol w:w="226"/>
        <w:gridCol w:w="586"/>
        <w:gridCol w:w="155"/>
      </w:tblGrid>
      <w:tr>
        <w:trPr/>
        <w:tc>
          <w:tcPr>
            <w:tcW w:w="18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w:t>
              <w:br/>
              <w:t>June 30, 2025</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Income</w:t>
              <w:br/>
              <w:t>(Loss)</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1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w:t>
            </w:r>
            <w:r>
              <w:rPr>
                <w:rFonts w:ascii="Avenir Next LT Pro;sans-serif" w:hAnsi="Avenir Next LT Pro;sans-serif"/>
                <w:b w:val="false"/>
                <w:color w:val="000000"/>
                <w:sz w:val="13"/>
              </w:rPr>
              <w:t>1</w:t>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744.0</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274.2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183.6</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0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927.6</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684.7 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from continuing operations</w:t>
            </w:r>
          </w:p>
        </w:tc>
        <w:tc>
          <w:tcPr>
            <w:tcW w:w="10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928.3</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695.6 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Discontinued operations, net of tax </w:t>
            </w:r>
          </w:p>
        </w:tc>
        <w:tc>
          <w:tcPr>
            <w:tcW w:w="10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including noncontrolling interest</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928.3</w:t>
            </w:r>
            <w:r>
              <w:rPr>
                <w:color w:val="000000"/>
              </w:rPr>
              <w:t>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695.6 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attributable to noncontrolling interest</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center"/>
        <w:rPr/>
      </w:pPr>
      <w:r>
        <w:rPr/>
      </w:r>
    </w:p>
    <w:tbl>
      <w:tblPr>
        <w:tblW w:w="10205" w:type="dxa"/>
        <w:jc w:val="center"/>
        <w:tblInd w:w="0" w:type="dxa"/>
        <w:tblLayout w:type="fixed"/>
        <w:tblCellMar>
          <w:top w:w="28" w:type="dxa"/>
          <w:left w:w="28" w:type="dxa"/>
          <w:bottom w:w="28" w:type="dxa"/>
          <w:right w:w="28" w:type="dxa"/>
        </w:tblCellMar>
      </w:tblPr>
      <w:tblGrid>
        <w:gridCol w:w="1702"/>
        <w:gridCol w:w="1367"/>
        <w:gridCol w:w="1374"/>
        <w:gridCol w:w="241"/>
        <w:gridCol w:w="991"/>
        <w:gridCol w:w="109"/>
        <w:gridCol w:w="109"/>
        <w:gridCol w:w="109"/>
        <w:gridCol w:w="109"/>
        <w:gridCol w:w="241"/>
        <w:gridCol w:w="781"/>
        <w:gridCol w:w="109"/>
        <w:gridCol w:w="109"/>
        <w:gridCol w:w="109"/>
        <w:gridCol w:w="109"/>
        <w:gridCol w:w="226"/>
        <w:gridCol w:w="886"/>
        <w:gridCol w:w="109"/>
        <w:gridCol w:w="109"/>
        <w:gridCol w:w="109"/>
        <w:gridCol w:w="109"/>
        <w:gridCol w:w="226"/>
        <w:gridCol w:w="706"/>
        <w:gridCol w:w="156"/>
      </w:tblGrid>
      <w:tr>
        <w:trPr/>
        <w:tc>
          <w:tcPr>
            <w:tcW w:w="170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Six Months Ended</w:t>
              <w:br/>
              <w:t>June 30, 2025</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Income</w:t>
              <w:br/>
              <w:t>(Loss)</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¹</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1,319.5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430.9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338.8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83.5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401.6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(104.1)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from continuing operations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333.2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Discontinued operations, net of tax </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including noncontrolling interest</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1,661.9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332.2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124.5 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attributable to noncontrolling interest</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285.2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00" w:after="200"/>
        <w:jc w:val="both"/>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results attributable to a noncontrolling interest in MP GOM.</w:t>
      </w:r>
    </w:p>
    <w:p>
      <w:pPr>
        <w:pStyle w:val="TextBody"/>
        <w:bidi w:val="0"/>
        <w:spacing w:before="12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800"/>
                <wp:effectExtent l="0" t="0" r="0" b="0"/>
                <wp:wrapNone/>
                <wp:docPr id="19" name="Frame18"/>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14</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PRODUCTION-RELATED EXPENSES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23"/>
        <w:gridCol w:w="1502"/>
        <w:gridCol w:w="1509"/>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5"/>
      </w:tblGrid>
      <w:tr>
        <w:trPr/>
        <w:tc>
          <w:tcPr>
            <w:tcW w:w="182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(Dollars per barrel of oil equivalents sold)</w:t>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31.79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United States – Offshore</w:t>
            </w:r>
            <w:r>
              <w:rPr>
                <w:color w:val="000000"/>
              </w:rPr>
              <w:t xml:space="preserve"> </w:t>
            </w:r>
            <w:r>
              <w:rPr>
                <w:rFonts w:ascii="Avenir Next LT Pro;sans-serif" w:hAnsi="Avenir Next LT Pro;sans-serif"/>
                <w:b w:val="false"/>
                <w:color w:val="000000"/>
                <w:sz w:val="13"/>
              </w:rPr>
              <w:t>1</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10.43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18.74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0.15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 operating expense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18.84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18.24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 expense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Total E&amp;P continuing operations</w:t>
            </w:r>
            <w:r>
              <w:rPr>
                <w:color w:val="000000"/>
              </w:rPr>
              <w:t xml:space="preserve"> </w:t>
            </w:r>
            <w:r>
              <w:rPr>
                <w:rFonts w:ascii="Avenir Next LT Pro;sans-serif" w:hAnsi="Avenir Next LT Pro;sans-serif"/>
                <w:b w:val="false"/>
                <w:color w:val="000000"/>
                <w:sz w:val="13"/>
              </w:rPr>
              <w:t>1</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Lease operating expense </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8.92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16.16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15.89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oil and gas continuing operations – excluding noncontrolling interest</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Lease operating expense</w:t>
            </w:r>
            <w:r>
              <w:rPr>
                <w:color w:val="000000"/>
              </w:rPr>
              <w:t xml:space="preserve"> </w:t>
            </w:r>
            <w:r>
              <w:rPr>
                <w:rFonts w:ascii="Avenir Next LT Pro;sans-serif" w:hAnsi="Avenir Next LT Pro;sans-serif"/>
                <w:b w:val="false"/>
                <w:color w:val="000000"/>
                <w:sz w:val="13"/>
              </w:rPr>
              <w:t>3</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0.92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val="false"/>
                <w:color w:val="000000"/>
                <w:sz w:val="20"/>
              </w:rPr>
              <w:t>Depreciation, depletion and amortization expense</w:t>
            </w:r>
            <w:r>
              <w:rPr>
                <w:color w:val="000000"/>
              </w:rPr>
              <w:t xml:space="preserv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16.20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15.94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amounts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Excludes expenses attributable to the Corporate segment.</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Lease operating expense per barrel of oil equivalent sold for total oil and gas continuing operations, excluding NCI and workover costs, was $8.20 and $8.76 for the three months ended June 30, 2026 and 2025, respectively, and $8.23 and $9.50 for the six months ended June 30, 2026 and 2025, respectively.</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800"/>
                <wp:effectExtent l="0" t="0" r="0" b="0"/>
                <wp:wrapNone/>
                <wp:docPr id="20" name="Frame19"/>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15</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CAPITAL EXPENDITURES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48"/>
        <w:gridCol w:w="1438"/>
        <w:gridCol w:w="1447"/>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6"/>
      </w:tblGrid>
      <w:tr>
        <w:trPr/>
        <w:tc>
          <w:tcPr>
            <w:tcW w:w="194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w:t>
            </w:r>
            <w:r>
              <w:rPr>
                <w:rFonts w:ascii="Avenir Next LT Pro;sans-serif" w:hAnsi="Avenir Next LT Pro;sans-serif"/>
                <w:b w:val="false"/>
                <w:color w:val="000000"/>
                <w:sz w:val="13"/>
              </w:rPr>
              <w:t>1</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535.3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500.5 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64.3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126.4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152.6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300.2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961.9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671.4 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capital expenditures - continuing operations </w:t>
            </w:r>
            <w:r>
              <w:rPr>
                <w:rFonts w:ascii="Avenir Next LT Pro;sans-serif" w:hAnsi="Avenir Next LT Pro;sans-serif"/>
                <w:b w:val="false"/>
                <w:color w:val="000000"/>
                <w:sz w:val="13"/>
              </w:rPr>
              <w:t>1</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500.3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978.2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678.4 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capital expenditures attributable to noncontrolling interest</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Total capital expenditures - continuing operations attributable to Murphy</w:t>
            </w:r>
            <w:r>
              <w:rPr>
                <w:color w:val="000000"/>
              </w:rPr>
              <w:t xml:space="preserve"> </w:t>
            </w:r>
            <w:r>
              <w:rPr>
                <w:rFonts w:ascii="Avenir Next LT Pro;sans-serif" w:hAnsi="Avenir Next LT Pro;sans-serif"/>
                <w:b/>
                <w:color w:val="000000"/>
                <w:sz w:val="13"/>
              </w:rPr>
              <w:t>2</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476.0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941.0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653.7 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Charged to exploration expenses </w:t>
            </w:r>
            <w:r>
              <w:rPr>
                <w:rFonts w:ascii="Avenir Next LT Pro;sans-serif" w:hAnsi="Avenir Next LT Pro;sans-serif"/>
                <w:b w:val="false"/>
                <w:color w:val="000000"/>
                <w:sz w:val="13"/>
              </w:rPr>
              <w:t>3</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Canada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Total charged to exploration expenses - continuing operations</w:t>
            </w:r>
            <w:r>
              <w:rPr>
                <w:color w:val="000000"/>
              </w:rPr>
              <w:t xml:space="preserve"> </w:t>
            </w:r>
            <w:r>
              <w:rPr>
                <w:rFonts w:ascii="Avenir Next LT Pro;sans-serif" w:hAnsi="Avenir Next LT Pro;sans-serif"/>
                <w:b w:val="false"/>
                <w:color w:val="000000"/>
                <w:sz w:val="13"/>
              </w:rPr>
              <w:t>1,3</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charged to exploration expenses attributable to noncontrolling interest</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charged to exploration expenses - continuing operations attributable to Murphy </w:t>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117.4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capitalized - continuing operations attributable to Murphy</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439.1</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823.6</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632.8 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amounts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For the three months ended June 30, 2026, total capital expenditures attributable to Murphy, excluding acquisition-related costs of $0.8 million (2025: nil), is $475.2 million (2025: $250.8 million). For the six months ended June 30, 2026, total capital expenditures attributable to Murphy, excluding acquisition-related costs of $23.5 million (2025: $1.4 million), is $917.5 million (2025: $652.3 million).</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3 </w:t>
      </w:r>
      <w:r>
        <w:rPr>
          <w:rFonts w:ascii="Avenir Next LT Pro;sans-serif" w:hAnsi="Avenir Next LT Pro;sans-serif"/>
          <w:b w:val="false"/>
          <w:color w:val="000000"/>
          <w:sz w:val="18"/>
        </w:rPr>
        <w:t xml:space="preserve">For the three and six months ended June 30, 2026, total charged to exploration expense attributable to Murphy, excludes amortization of undeveloped leases of $2.4 million (2025: $2.3 million) and $4.7 million (2025 $3.9 million), respectively. </w:t>
      </w:r>
    </w:p>
    <w:p>
      <w:pPr>
        <w:pStyle w:val="TextBody"/>
        <w:bidi w:val="0"/>
        <w:spacing w:before="40" w:after="40"/>
        <w:ind w:left="0" w:right="0" w:hanging="86"/>
        <w:jc w:val="left"/>
        <w:rPr/>
      </w:pPr>
      <w:r>
        <w:rPr/>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800"/>
                <wp:effectExtent l="0" t="0" r="0" b="0"/>
                <wp:wrapNone/>
                <wp:docPr id="21" name="Frame20"/>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16</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PRODUCTION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05"/>
        <w:gridCol w:w="1154"/>
        <w:gridCol w:w="1161"/>
        <w:gridCol w:w="525"/>
        <w:gridCol w:w="526"/>
        <w:gridCol w:w="210"/>
        <w:gridCol w:w="206"/>
        <w:gridCol w:w="206"/>
        <w:gridCol w:w="206"/>
        <w:gridCol w:w="521"/>
        <w:gridCol w:w="425"/>
        <w:gridCol w:w="206"/>
        <w:gridCol w:w="109"/>
        <w:gridCol w:w="109"/>
        <w:gridCol w:w="109"/>
        <w:gridCol w:w="525"/>
        <w:gridCol w:w="526"/>
        <w:gridCol w:w="214"/>
        <w:gridCol w:w="181"/>
        <w:gridCol w:w="181"/>
        <w:gridCol w:w="181"/>
        <w:gridCol w:w="473"/>
        <w:gridCol w:w="473"/>
        <w:gridCol w:w="273"/>
      </w:tblGrid>
      <w:tr>
        <w:trPr/>
        <w:tc>
          <w:tcPr>
            <w:tcW w:w="15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26,853</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28,519 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27,670</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22,779 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50,920</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58,840 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51,377</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57,222 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4,854</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3,899</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7,880</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5,638 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8,440</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239</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232</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crude oil and condensate</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90,746</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95,600 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91,618</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89,958 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6,769</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6,315</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3,976</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4,136</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570</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11,315</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11,000</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9,599 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32,861</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32,389 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32,971</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29,306 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49,178</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52,964 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50,160</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52,062 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355,672</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454,310 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366,277</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400,898 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437,711</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539,663 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449,408</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482,266 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175,013</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196,315 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177,519</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179,935 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(5,481)</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(6,070)</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(5,382)</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(5,925)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(210)</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20"/>
              </w:rPr>
              <w:t>Net natural gas – thousands of cubic feet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(2,052)</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(1,955)</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(1,590)</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(6,018)</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(6,638)</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(5,918)</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(6,397)</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168,995</w:t>
            </w:r>
            <w:r>
              <w:rPr>
                <w:color w:val="000000"/>
              </w:rPr>
              <w:t> </w:t>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189,677 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171,601</w:t>
            </w:r>
            <w:r>
              <w:rPr>
                <w:color w:val="000000"/>
              </w:rPr>
              <w:t>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173,538 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3 </w:t>
      </w:r>
      <w:r>
        <w:rPr>
          <w:rFonts w:ascii="Avenir Next LT Pro;sans-serif" w:hAnsi="Avenir Next LT Pro;sans-serif"/>
          <w:b w:val="false"/>
          <w:color w:val="000000"/>
          <w:sz w:val="18"/>
        </w:rPr>
        <w:t>NCI - noncontrolling interest in MP GOM.</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800"/>
                <wp:effectExtent l="0" t="0" r="0" b="0"/>
                <wp:wrapNone/>
                <wp:docPr id="22" name="Frame21"/>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17</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SALES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5"/>
        <w:gridCol w:w="1154"/>
        <w:gridCol w:w="1161"/>
        <w:gridCol w:w="525"/>
        <w:gridCol w:w="526"/>
        <w:gridCol w:w="210"/>
        <w:gridCol w:w="206"/>
        <w:gridCol w:w="206"/>
        <w:gridCol w:w="206"/>
        <w:gridCol w:w="521"/>
        <w:gridCol w:w="425"/>
        <w:gridCol w:w="206"/>
        <w:gridCol w:w="109"/>
        <w:gridCol w:w="109"/>
        <w:gridCol w:w="109"/>
        <w:gridCol w:w="525"/>
        <w:gridCol w:w="526"/>
        <w:gridCol w:w="214"/>
        <w:gridCol w:w="181"/>
        <w:gridCol w:w="181"/>
        <w:gridCol w:w="181"/>
        <w:gridCol w:w="473"/>
        <w:gridCol w:w="473"/>
        <w:gridCol w:w="273"/>
      </w:tblGrid>
      <w:tr>
        <w:trPr/>
        <w:tc>
          <w:tcPr>
            <w:tcW w:w="15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26,853</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28,520 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27,670</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22,779 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50,359</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58,469 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51,277</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56,313 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4,854</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3,899</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10,201</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7,762 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8,897</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9,436 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226</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230 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crude oil and condensate</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92,267</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97,515 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91,969</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91,202 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6,769</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6,315</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4,819 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3,976</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4,720 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4,136</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4,264 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570</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549</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11,315</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11,000</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9,599 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32,861</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32,388 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32,971</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29,306 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49,178</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52,964 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50,160</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52,062 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355,672</w:t>
            </w:r>
            <w:r>
              <w:rPr>
                <w:color w:val="000000"/>
              </w:rPr>
              <w:t>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454,310 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366,277</w:t>
            </w:r>
            <w:r>
              <w:rPr>
                <w:color w:val="000000"/>
              </w:rPr>
              <w:t>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400,898 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437,711</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539,662 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449,408</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482,266 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176,534</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198,230 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177,870</w:t>
            </w:r>
            <w:r>
              <w:rPr>
                <w:color w:val="000000"/>
              </w:rPr>
              <w:t>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181,179 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2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(5,396)</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(6,014)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(5,365)</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(5,792)</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(243)</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(210)</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(207)</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venir Next LT Pro;sans-serif" w:hAnsi="Avenir Next LT Pro;sans-serif"/>
                <w:b w:val="false"/>
                <w:color w:val="000000"/>
                <w:sz w:val="20"/>
              </w:rPr>
              <w:t>Net natural gas – thousands of cubic feet per day</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(2,052)</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(1,942)</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(1,955)</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(1,590)</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(5,933)</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(6,581)</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(5,901)</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(6,264)</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170,601</w:t>
            </w:r>
            <w:r>
              <w:rPr>
                <w:color w:val="000000"/>
              </w:rPr>
              <w:t> </w:t>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191,649 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171,969</w:t>
            </w:r>
            <w:r>
              <w:rPr>
                <w:color w:val="000000"/>
              </w:rPr>
              <w:t>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174,915 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3820"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2 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3 </w:t>
      </w:r>
      <w:r>
        <w:rPr>
          <w:rFonts w:ascii="Avenir Next LT Pro;sans-serif" w:hAnsi="Avenir Next LT Pro;sans-serif"/>
          <w:b w:val="false"/>
          <w:color w:val="000000"/>
          <w:sz w:val="18"/>
        </w:rPr>
        <w:t>NCI - noncontrolling interest in MP GOM.</w:t>
      </w:r>
    </w:p>
    <w:p>
      <w:pPr>
        <w:pStyle w:val="TextBody"/>
        <w:bidi w:val="0"/>
        <w:spacing w:before="40" w:after="40"/>
        <w:ind w:left="0" w:right="0" w:hanging="8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800"/>
                <wp:effectExtent l="0" t="0" r="0" b="0"/>
                <wp:wrapNone/>
                <wp:docPr id="23" name="Frame22"/>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18</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WEIGHTED AVERAGE PRICE SUMMARY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4" w:type="dxa"/>
        <w:jc w:val="center"/>
        <w:tblInd w:w="0" w:type="dxa"/>
        <w:tblLayout w:type="fixed"/>
        <w:tblCellMar>
          <w:top w:w="28" w:type="dxa"/>
          <w:left w:w="28" w:type="dxa"/>
          <w:bottom w:w="28" w:type="dxa"/>
          <w:right w:w="28" w:type="dxa"/>
        </w:tblCellMar>
      </w:tblPr>
      <w:tblGrid>
        <w:gridCol w:w="1623"/>
        <w:gridCol w:w="1429"/>
        <w:gridCol w:w="1432"/>
        <w:gridCol w:w="241"/>
        <w:gridCol w:w="781"/>
        <w:gridCol w:w="109"/>
        <w:gridCol w:w="109"/>
        <w:gridCol w:w="109"/>
        <w:gridCol w:w="109"/>
        <w:gridCol w:w="226"/>
        <w:gridCol w:w="706"/>
        <w:gridCol w:w="109"/>
        <w:gridCol w:w="109"/>
        <w:gridCol w:w="109"/>
        <w:gridCol w:w="109"/>
        <w:gridCol w:w="241"/>
        <w:gridCol w:w="781"/>
        <w:gridCol w:w="109"/>
        <w:gridCol w:w="109"/>
        <w:gridCol w:w="109"/>
        <w:gridCol w:w="109"/>
        <w:gridCol w:w="226"/>
        <w:gridCol w:w="70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Six Months Ended</w:t>
              <w:br/>
              <w:t>June 30,</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86.18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99.36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84.99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68.23 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84.08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77.28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103.88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93.00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71.04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23.08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21.66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18.97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34.46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31.25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3.07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1 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2 </w:t>
      </w:r>
      <w:r>
        <w:rPr>
          <w:rFonts w:ascii="Avenir Next LT Pro;sans-serif" w:hAnsi="Avenir Next LT Pro;sans-serif"/>
          <w:b w:val="false"/>
          <w:color w:val="000000"/>
          <w:sz w:val="18"/>
        </w:rPr>
        <w:t>U.S. dollar equivalent.</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800"/>
                <wp:effectExtent l="0" t="0" r="0" b="0"/>
                <wp:wrapNone/>
                <wp:docPr id="24" name="Frame23"/>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19</w:t>
                      </w:r>
                    </w:p>
                  </w:txbxContent>
                </v:textbox>
                <w10:wrap type="none"/>
              </v:rect>
            </w:pict>
          </mc:Fallback>
        </mc:AlternateContent>
      </w:r>
    </w:p>
    <w:p>
      <w:pPr>
        <w:pStyle w:val="TextBody"/>
        <w:bidi w:val="0"/>
        <w:spacing w:before="200" w:after="200"/>
        <w:jc w:val="right"/>
        <w:rPr/>
      </w:pPr>
      <w:r>
        <w:rPr/>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MURPHY OIL CORPORATION</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FIXED PRICE FORWARD SALES AND COMMODITY HEDGE POSITIONS</w:t>
      </w:r>
    </w:p>
    <w:p>
      <w:pPr>
        <w:pStyle w:val="TextBody"/>
        <w:bidi w:val="0"/>
        <w:spacing w:lineRule="auto" w:line="288" w:before="40" w:after="40"/>
        <w:jc w:val="left"/>
        <w:rPr>
          <w:rFonts w:ascii="Avenir Next LT Pro;sans-serif" w:hAnsi="Avenir Next LT Pro;sans-serif"/>
          <w:b/>
          <w:color w:val="000000"/>
          <w:sz w:val="24"/>
        </w:rPr>
      </w:pPr>
      <w:r>
        <w:rPr>
          <w:rFonts w:ascii="Avenir Next LT Pro;sans-serif" w:hAnsi="Avenir Next LT Pro;sans-serif"/>
          <w:b/>
          <w:color w:val="000000"/>
          <w:sz w:val="24"/>
        </w:rPr>
        <w:t>AS OF AUGUST 3, 2026 (unaudited)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3"/>
        <w:gridCol w:w="583"/>
        <w:gridCol w:w="592"/>
        <w:gridCol w:w="109"/>
        <w:gridCol w:w="109"/>
        <w:gridCol w:w="109"/>
        <w:gridCol w:w="376"/>
        <w:gridCol w:w="376"/>
        <w:gridCol w:w="377"/>
        <w:gridCol w:w="109"/>
        <w:gridCol w:w="109"/>
        <w:gridCol w:w="109"/>
        <w:gridCol w:w="329"/>
        <w:gridCol w:w="329"/>
        <w:gridCol w:w="331"/>
        <w:gridCol w:w="109"/>
        <w:gridCol w:w="109"/>
        <w:gridCol w:w="109"/>
        <w:gridCol w:w="324"/>
        <w:gridCol w:w="324"/>
        <w:gridCol w:w="317"/>
        <w:gridCol w:w="181"/>
        <w:gridCol w:w="181"/>
        <w:gridCol w:w="181"/>
        <w:gridCol w:w="292"/>
        <w:gridCol w:w="292"/>
        <w:gridCol w:w="39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 xml:space="preserve">Type </w:t>
            </w:r>
            <w:r>
              <w:rPr>
                <w:rFonts w:ascii="Avenir Next LT Pro;sans-serif" w:hAnsi="Avenir Next LT Pro;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C$2.81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1/1/2027</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12/31/2027</w:t>
            </w:r>
          </w:p>
        </w:tc>
      </w:tr>
    </w:tbl>
    <w:p>
      <w:pPr>
        <w:pStyle w:val="TextBody"/>
        <w:bidi w:val="0"/>
        <w:spacing w:lineRule="auto" w:line="288" w:before="40" w:after="40"/>
        <w:ind w:left="0" w:right="0" w:hanging="86"/>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Fixed price forward sale contracts listed above are accounted for as normal sales and purchases for accounting purposes.</w:t>
      </w:r>
    </w:p>
    <w:p>
      <w:pPr>
        <w:pStyle w:val="TextBody"/>
        <w:bidi w:val="0"/>
        <w:spacing w:before="100" w:after="200"/>
        <w:jc w:val="left"/>
        <w:rPr/>
      </w:pPr>
      <w:r>
        <w:rPr/>
      </w:r>
    </w:p>
    <w:p>
      <w:pPr>
        <w:pStyle w:val="TextBody"/>
        <w:bidi w:val="0"/>
        <w:spacing w:before="10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800"/>
                <wp:effectExtent l="0" t="0" r="0" b="0"/>
                <wp:wrapNone/>
                <wp:docPr id="25" name="Frame24"/>
                <a:graphic xmlns:a="http://schemas.openxmlformats.org/drawingml/2006/main">
                  <a:graphicData uri="http://schemas.microsoft.com/office/word/2010/wordprocessingShape">
                    <wps:wsp>
                      <wps:cNvSpPr txBox="1"/>
                      <wps:spPr>
                        <a:xfrm>
                          <a:off x="0" y="0"/>
                          <a:ext cx="6480175" cy="30480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20</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0" w:after="80"/>
        <w:jc w:val="left"/>
        <w:rPr/>
      </w:pPr>
      <w:r>
        <w:rPr/>
        <w:drawing>
          <wp:inline distT="0" distB="0" distL="0" distR="0">
            <wp:extent cx="1743075" cy="80010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1743075" cy="800100"/>
                    </a:xfrm>
                    <a:prstGeom prst="rect">
                      <a:avLst/>
                    </a:prstGeom>
                  </pic:spPr>
                </pic:pic>
              </a:graphicData>
            </a:graphic>
          </wp:inline>
        </w:drawing>
      </w:r>
      <w:r>
        <w:rPr>
          <w:color w:val="000000"/>
        </w:rPr>
        <w:t xml:space="preserve"> </w:t>
      </w:r>
    </w:p>
    <w:p>
      <w:pPr>
        <w:pStyle w:val="TextBody"/>
        <w:bidi w:val="0"/>
        <w:spacing w:lineRule="auto" w:line="374" w:before="0" w:after="160"/>
        <w:jc w:val="both"/>
        <w:rPr>
          <w:rFonts w:ascii="Avenir Next LT Pro;sans-serif" w:hAnsi="Avenir Next LT Pro;sans-serif"/>
          <w:b/>
          <w:color w:val="000000"/>
          <w:sz w:val="28"/>
        </w:rPr>
      </w:pPr>
      <w:r>
        <w:rPr>
          <w:rFonts w:ascii="Avenir Next LT Pro;sans-serif" w:hAnsi="Avenir Next LT Pro;sans-serif"/>
          <w:b/>
          <w:color w:val="000000"/>
          <w:sz w:val="28"/>
        </w:rPr>
        <w:t>Quarterly Stockholder Update by Murphy Oil Corporation</w:t>
      </w:r>
    </w:p>
    <w:p>
      <w:pPr>
        <w:pStyle w:val="TextBody"/>
        <w:bidi w:val="0"/>
        <w:spacing w:lineRule="auto" w:line="369" w:before="0" w:after="200"/>
        <w:jc w:val="both"/>
        <w:rPr/>
      </w:pPr>
      <w:r>
        <w:rPr>
          <w:rFonts w:ascii="Avenir Next LT Pro;sans-serif" w:hAnsi="Avenir Next LT Pro;sans-serif"/>
          <w:b w:val="false"/>
          <w:color w:val="000000"/>
          <w:sz w:val="24"/>
        </w:rPr>
        <w:t>This letter serves as a supplement to our earnings release for the second quarter of 2026. Please see the information regarding forward-looking statements and non-GAAP financial information</w:t>
      </w:r>
      <w:r>
        <w:rPr>
          <w:rFonts w:ascii="Avenir Next LT Pro;sans-serif" w:hAnsi="Avenir Next LT Pro;sans-serif"/>
          <w:b w:val="false"/>
          <w:color w:val="000000"/>
          <w:sz w:val="16"/>
        </w:rPr>
        <w:t>1</w:t>
      </w:r>
      <w:r>
        <w:rPr>
          <w:color w:val="000000"/>
        </w:rPr>
        <w:t xml:space="preserve"> </w:t>
      </w:r>
      <w:r>
        <w:rPr>
          <w:rFonts w:ascii="Avenir Next LT Pro;sans-serif" w:hAnsi="Avenir Next LT Pro;sans-serif"/>
          <w:b w:val="false"/>
          <w:color w:val="000000"/>
          <w:sz w:val="24"/>
        </w:rPr>
        <w:t>included at the end of this letter. Unless otherwise noted, the</w:t>
      </w:r>
      <w:r>
        <w:rPr>
          <w:color w:val="000000"/>
          <w:shd w:fill="FFFFFF" w:val="clear"/>
        </w:rPr>
        <w:t xml:space="preserve"> </w:t>
      </w:r>
      <w:r>
        <w:rPr>
          <w:rFonts w:ascii="Avenir Next LT Pro;sans-serif" w:hAnsi="Avenir Next LT Pro;sans-serif"/>
          <w:b w:val="false"/>
          <w:color w:val="000000"/>
          <w:sz w:val="24"/>
          <w:shd w:fill="FFFFFF" w:val="clear"/>
        </w:rPr>
        <w:t>financial and operating highlights and metrics discussed in this letter exclude noncontrolling interest (NCI)</w:t>
      </w:r>
      <w:r>
        <w:rPr>
          <w:rFonts w:ascii="Avenir Next LT Pro;sans-serif" w:hAnsi="Avenir Next LT Pro;sans-serif"/>
          <w:b w:val="false"/>
          <w:color w:val="000000"/>
          <w:sz w:val="16"/>
          <w:shd w:fill="FFFFFF" w:val="clear"/>
        </w:rPr>
        <w:t>2</w:t>
      </w:r>
      <w:r>
        <w:rPr>
          <w:rFonts w:ascii="Avenir Next LT Pro;sans-serif" w:hAnsi="Avenir Next LT Pro;sans-serif"/>
          <w:b w:val="false"/>
          <w:color w:val="000000"/>
          <w:sz w:val="24"/>
          <w:shd w:fill="FFFFFF" w:val="clear"/>
        </w:rPr>
        <w:t>.</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HOUSTON, Texas, August 5, 2026</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 Stockholders,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The second quarter of 2026 demonstrated Murphy's capabilities across all three pillars of our strategy: Explore, Develop, Deliver. The highlight of the quarter was our Bubale-1X discovery offshore Côte d'Ivoire, where we encountered 100 feet of net oil pay across two reservoirs. Exploration success demands discipline and patience, and I am proud of our team's technical excellence and rigorous execution in delivering this significant result.</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Beyond exploration, we completed the Hai Su Vang (Golden Sea Lion) appraisal program and advanced the Lac Da Vang (Golden Camel) field development in Vietnam. Our Chinook #8 development well in the Gulf of America also remains on track, with both Lac Da Vang and Chinook #8 expected to come online in the fourth quarter of 2026. These milestones, combined with strong performance across our base portfolio, supported another quarter of solid execution and delivery.</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As we continue to execute our strategy, exploration success is expanding our opportunity set, accelerated development is converting those opportunities into value, and our base assets are delivering the cash flow to fund and support growth. I will cover each of these elements in the following pages, starting with our exploration and appraisal results and how those results are reshaping our capital plan.</w:t>
      </w:r>
    </w:p>
    <w:p>
      <w:pPr>
        <w:pStyle w:val="TextBody"/>
        <w:bidi w:val="0"/>
        <w:spacing w:before="0" w:after="2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7800"/>
                <wp:effectExtent l="0" t="0" r="0" b="0"/>
                <wp:wrapNone/>
                <wp:docPr id="27" name="Frame2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EXPLORATION AND APPRAISAL UPDATE</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The Bubale-1X discovery in Côte d'Ivoire reflects Murphy's potential to create value in underexplored offshore basins. The pay encountered spans the Turonian and Cenomanian reservoirs, with preliminary results indicating high-quality light oil. Encouraged by these initial results, we are moving forward with an appraisal program to better understand the discovery's size, quality and potential. We expect the Bubale appraisal program to include up to five wells over the next 18 to 24 months, with the first appraisal well already underway.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 Vietnam, the completion of our Hai Su Vang appraisal program provided valuable insight into reservoir continuity and recoverable resource potential. While findings from the Hai Su Vang-2X appraisal well were highly favorable, results from the subsequent two appraisal wells were mixed: Hai Su Vang-3X encountered hydrocarbons while Hai Su Vang-4X did not and was expensed as a dry hole. Incorporating these results, our updated assessment now places total gross recoverable resources between 200 to 300 million barrels of oil equivalent (BOE). While this outcome is below our earlier expectations, our appraisal program did exactly what it was meant to do — reduce uncertainty and help define the most economic path forward. This is how we protect our capital: test and refine estimates at a low cost, then commit significant investment only when the value is clear. Hai Su Vang remains an attractive opportunity and will serve as a hub for future exploration prospects in the basin. Located in just 150 feet of water, this discovery is particularly exciting because shallow-water depths mean lower development costs, simpler logistics, and a faster path to production compared to deepwater projects. Our focus now is advancing the program into its development phase, with a targeted final investment decision by the fourth quarter of 2027.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Looking ahead, our international exploration program is advancing on multiple fronts. In Vietnam, we spud the Lac Da Trang (White Camel) North-1X exploration well in July. Additionally, in the second quarter, we advanced key agreements for exploration blocks in Cameroon and submitted an application for offshore blocks in Mauritania, initiating discussions with the government. We anticipate finalizing the contracts in both countries in the second half of the year.</w:t>
      </w:r>
    </w:p>
    <w:p>
      <w:pPr>
        <w:pStyle w:val="TextBody"/>
        <w:bidi w:val="0"/>
        <w:spacing w:before="0" w:after="20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7800"/>
                <wp:effectExtent l="0" t="0" r="0" b="0"/>
                <wp:wrapNone/>
                <wp:docPr id="28" name="Frame2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p>
                  </w:txbxContent>
                </v:textbox>
                <w10:wrap type="none"/>
              </v:rect>
            </w:pict>
          </mc:Fallback>
        </mc:AlternateContent>
      </w:r>
    </w:p>
    <w:p>
      <w:pPr>
        <w:pStyle w:val="TextBody"/>
        <w:bidi w:val="0"/>
        <w:spacing w:before="0" w:after="200"/>
        <w:jc w:val="right"/>
        <w:rPr/>
      </w:pPr>
      <w:r>
        <w:rPr/>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CAPITAL EXPENDITURES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CAPEX during the second quarter was $476 million, $86 million above our guidance midpoint of $390 million, driven by the increased spend at Bubale-1X for logging and evaluation.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As we noted in our first quarter update, we were preserving investment optionality pending the results from our exploration and appraisal program. With these results now in hand, we expect full-year 2026 capital expenditures to increase from a midpoint of $1.25 billion to $1.55 billion. This new outlook reflects an expanded opportunity set, not a change in our disciplined approach to capital allocation. There are three primary drivers of this increase:</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First, we are allocating approximately $190 million for our Bubale discovery. This includes an incremental $100 million incurred for the Bubale-1X discovery well, and an additional $90 million for the Bubale West-1X appraisal well planned for the second half of 2026. Given the potential scale of the discovery, we see the appraisal work as a compelling use of capital to further define the resource and support future development decisions.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Second, to support the next phase of our organic growth in Côte d'Ivoire and Vietnam, we are choosing to accelerate activity in the Eagle Ford Shale with an additional $70 million investment. This asset's strong returns and capital efficiency make it an ideal source of near-term oil production and cash flow. Approximately $50 million of additional spend relates to our operated program, which will add approximately 5 MBOEPD of production in 2027. The remaining $20 million reflects our participation in incremental non-operated activity based on attractive economics and returns. Looking beyond 2026, we plan to increasingly lean on our Eagle Ford Shale business to fund our offshore growth, which is exactly the role we have long envisioned for this asset — a flexible, high-return resource capable of supporting opportunities across our portfolio.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Third, we expect approximately $40 million of additional capital related to higher than anticipated costs associated with the Chinook #8 drilling. With drilling now complete, the well remains on track to come online as a strong Gulf of America producer in the fourth quarter of 2026.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We recognize that you, our investors, often evaluate capital spending through the lens of capital discipline. Disciplined capital allocation is central to how we run our </w:t>
      </w:r>
    </w:p>
    <w:p>
      <w:pPr>
        <w:pStyle w:val="TextBody"/>
        <w:bidi w:val="0"/>
        <w:spacing w:before="0" w:after="20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7800"/>
                <wp:effectExtent l="0" t="0" r="0" b="0"/>
                <wp:wrapNone/>
                <wp:docPr id="29" name="Frame2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business, and every dollar of additional spend this year is directed toward projects we believe will materially enhance future production, reserves, cash flow, and ultimately, shareholder value. It is also noteworthy that our unhedged position allows us to fully capture the benefit of recent higher oil prices, providing additional cash flow to support these investments while maintaining a strong balance sheet.</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SECOND QUARTER 2026 SUMMARY</w:t>
      </w:r>
    </w:p>
    <w:p>
      <w:pPr>
        <w:pStyle w:val="TextBody"/>
        <w:bidi w:val="0"/>
        <w:spacing w:lineRule="auto" w:line="369" w:before="0" w:after="200"/>
        <w:jc w:val="both"/>
        <w:rPr/>
      </w:pPr>
      <w:r>
        <w:rPr>
          <w:rFonts w:ascii="Avenir Next LT Pro;sans-serif" w:hAnsi="Avenir Next LT Pro;sans-serif"/>
          <w:b/>
          <w:color w:val="000000"/>
          <w:sz w:val="24"/>
          <w:shd w:fill="FFFFFF" w:val="clear"/>
        </w:rPr>
        <w:t xml:space="preserve">Production - </w:t>
      </w:r>
      <w:r>
        <w:rPr>
          <w:rFonts w:ascii="Avenir Next LT Pro;sans-serif" w:hAnsi="Avenir Next LT Pro;sans-serif"/>
          <w:b w:val="false"/>
          <w:color w:val="000000"/>
          <w:sz w:val="24"/>
        </w:rPr>
        <w:t>Murphy delivered second quarter production of 169,000 barrels of oil equivalent per day (BOEPD), at the high end of our guidance range. Average oil production of 85,300 barrels of oil per day (BOPD) was in line with guidance. Overall, production outperformance was primarily driven by lower royalty rates and continued strong well performance at Tupper Montney. We remain on track to meet our full year production guidance midpoint of 171,000 BOEPD.</w:t>
      </w:r>
    </w:p>
    <w:p>
      <w:pPr>
        <w:pStyle w:val="TextBody"/>
        <w:bidi w:val="0"/>
        <w:spacing w:lineRule="auto" w:line="369" w:before="0" w:after="200"/>
        <w:jc w:val="both"/>
        <w:rPr/>
      </w:pPr>
      <w:r>
        <w:rPr>
          <w:rFonts w:ascii="Avenir Next LT Pro;sans-serif" w:hAnsi="Avenir Next LT Pro;sans-serif"/>
          <w:b/>
          <w:color w:val="000000"/>
          <w:sz w:val="24"/>
        </w:rPr>
        <w:t xml:space="preserve">Prices - </w:t>
      </w:r>
      <w:r>
        <w:rPr>
          <w:rFonts w:ascii="Avenir Next LT Pro;sans-serif" w:hAnsi="Avenir Next LT Pro;sans-serif"/>
          <w:b w:val="false"/>
          <w:color w:val="000000"/>
          <w:sz w:val="24"/>
        </w:rPr>
        <w:t xml:space="preserve">We realized $99.14 per barrel of oil this quarter. This marks our highest realized oil price since 2022, reflecting a 37 percent quarter-over-quarter increase driven by recent geopolitical events. Gas prices dipped seasonally this quarter, with gas price realization of $1.76 per thousand cubic feet (MCF). </w:t>
      </w:r>
    </w:p>
    <w:p>
      <w:pPr>
        <w:pStyle w:val="TextBody"/>
        <w:bidi w:val="0"/>
        <w:spacing w:lineRule="auto" w:line="369" w:before="0" w:after="200"/>
        <w:jc w:val="both"/>
        <w:rPr/>
      </w:pPr>
      <w:r>
        <w:rPr>
          <w:rFonts w:ascii="Avenir Next LT Pro;sans-serif" w:hAnsi="Avenir Next LT Pro;sans-serif"/>
          <w:b/>
          <w:color w:val="000000"/>
          <w:sz w:val="24"/>
        </w:rPr>
        <w:t>Lease Operating Expense (LOE)</w:t>
      </w:r>
      <w:r>
        <w:rPr>
          <w:color w:val="000000"/>
        </w:rPr>
        <w:t xml:space="preserve"> </w:t>
      </w:r>
      <w:r>
        <w:rPr>
          <w:rFonts w:ascii="Avenir Next LT Pro;sans-serif" w:hAnsi="Avenir Next LT Pro;sans-serif"/>
          <w:b w:val="false"/>
          <w:color w:val="000000"/>
          <w:sz w:val="24"/>
        </w:rPr>
        <w:t xml:space="preserve">- LOE averaged $8.83 per BOE in the second quarter, reflecting continued cost discipline across our portfolio. Consistent with our prior guidance, we expect full year LOE to be within our stated range of $10 to $12 per BOE given increased maintenance and workover activity in the second half of 2026. </w:t>
      </w:r>
    </w:p>
    <w:p>
      <w:pPr>
        <w:pStyle w:val="TextBody"/>
        <w:bidi w:val="0"/>
        <w:spacing w:lineRule="auto" w:line="369" w:before="0" w:after="200"/>
        <w:jc w:val="both"/>
        <w:rPr/>
      </w:pPr>
      <w:r>
        <w:rPr>
          <w:rFonts w:ascii="Avenir Next LT Pro;sans-serif" w:hAnsi="Avenir Next LT Pro;sans-serif"/>
          <w:b/>
          <w:color w:val="000000"/>
          <w:sz w:val="24"/>
        </w:rPr>
        <w:t>Financial Metrics</w:t>
      </w:r>
      <w:r>
        <w:rPr>
          <w:color w:val="000000"/>
        </w:rPr>
        <w:t xml:space="preserve"> </w:t>
      </w:r>
      <w:r>
        <w:rPr>
          <w:rFonts w:ascii="Avenir Next LT Pro;sans-serif" w:hAnsi="Avenir Next LT Pro;sans-serif"/>
          <w:b w:val="false"/>
          <w:color w:val="000000"/>
          <w:sz w:val="24"/>
        </w:rPr>
        <w:t>- Supported by stronger commodity prices and continued operational excellence, Murphy generated $110 million of free cash flow during the second quarter. Net income in the quarter was $232 million, adjusted earnings before interest, taxes, depreciation and amortization (EBITDA)</w:t>
      </w:r>
      <w:r>
        <w:rPr>
          <w:rFonts w:ascii="Avenir Next LT Pro;sans-serif" w:hAnsi="Avenir Next LT Pro;sans-serif"/>
          <w:b w:val="false"/>
          <w:color w:val="000000"/>
          <w:sz w:val="16"/>
        </w:rPr>
        <w:t>1</w:t>
      </w:r>
      <w:r>
        <w:rPr>
          <w:color w:val="000000"/>
        </w:rPr>
        <w:t xml:space="preserve"> </w:t>
      </w:r>
      <w:r>
        <w:rPr>
          <w:rFonts w:ascii="Avenir Next LT Pro;sans-serif" w:hAnsi="Avenir Next LT Pro;sans-serif"/>
          <w:b w:val="false"/>
          <w:color w:val="000000"/>
          <w:sz w:val="24"/>
        </w:rPr>
        <w:t>was $593 million, and operating cash flow excluding working capital adjustments was $588 million.</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OPERATIONAL UPDATE</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Our producing assets continued to deliver reliably and efficiently, demonstrating the consistent execution that underpins Murphy's performance.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 the Eagle Ford Shale, we had another great quarter, with six new wells online in Catarina. Notably, five of the six wells surpassed 20,000 feet of completed lateral length, an achievement reached by only 22 other Eagle Ford wells across all </w:t>
      </w:r>
    </w:p>
    <w:p>
      <w:pPr>
        <w:pStyle w:val="TextBody"/>
        <w:bidi w:val="0"/>
        <w:spacing w:before="0" w:after="20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7800"/>
                <wp:effectExtent l="0" t="0" r="0" b="0"/>
                <wp:wrapNone/>
                <wp:docPr id="30" name="Frame2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operators. These longer laterals are driving stronger well performance and exemplify continuous operational improvement across our business.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In onshore Canada, we brought online four Kaybob Duvernay wells during the second quarter and eight Tupper Montney wells subsequent to quarter end. The new wells are producing as expected and the Tupper West plant is now at full capacity, a milestone achieved with 20 percent fewer wells as compared to 2025.</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 the Gulf of America, we completed drilling operations at Chinook #8 and have begun completion activities. Operations are on track, and we expect this high-impact well to come online in the fourth quarter. Following Chinook #8, we will shift our Gulf of America focus to proactive workover and intervention activity to enhance production across the basin, with Samurai #4 well as a key priority. This decision is designed to unlock additional production potential and further optimize field performance, while still maintaining LOE within our stated range. </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At our Lac Da Vang development project in Vietnam, we reached two key milestones during the second quarter: completion of the pipeline work and the launch of the FSO (Floating Storage and Offloading vessel). Subsequent to the quarter, we completed the topsides installation and mobilized the FSO to location. Installing the platform topsides just 22 months after first steel cut demonstrates Murphy's ability to execute efficiently, and the FSO's arrival in Vietnam marks another significant milestone. Drilling and completions operations on the first set of wells are ongoing, and the project remains on track to deliver first oil in the fourth quarter of this year.</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FINANCIAL PERFORMANCE, SHAREHOLDER RETURNS AND BALANCE SHEET</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We believe Murphy's balance sheet remains one of our greatest strategic advantages, built through years of intentional capital discipline and a focus on balance sheet strength. That preparation puts us in a strong position to lean into the opportunities now in front of us. At quarter end, total debt was $1.55 billion, with net debt of approximately $1.07 billion. Cash and cash equivalents totaled approximately $484 million, and we had no outstanding borrowings under our revolving credit facility.</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In the second quarter, we returned $50 million to shareholders through our ongoing dividend program, and had $550 million remaining under our board-authorized share repurchase program.</w:t>
      </w:r>
    </w:p>
    <w:p>
      <w:pPr>
        <w:pStyle w:val="TextBody"/>
        <w:bidi w:val="0"/>
        <w:spacing w:before="0" w:after="20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7800"/>
                <wp:effectExtent l="0" t="0" r="0" b="0"/>
                <wp:wrapNone/>
                <wp:docPr id="31" name="Frame2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5</w:t>
                      </w:r>
                    </w:p>
                  </w:txbxContent>
                </v:textbox>
                <w10:wrap type="none"/>
              </v:rect>
            </w:pict>
          </mc:Fallback>
        </mc:AlternateContent>
      </w:r>
    </w:p>
    <w:p>
      <w:pPr>
        <w:pStyle w:val="TextBody"/>
        <w:bidi w:val="0"/>
        <w:spacing w:before="0" w:after="200"/>
        <w:jc w:val="right"/>
        <w:rPr/>
      </w:pPr>
      <w:r>
        <w:rPr/>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Our capital allocation plan remains unchanged with clear priorities: invest in high-return projects that create long-term value, return at least 50 percent of adjusted free cash flow to shareholders, and maintain a strong balance sheet. As the year progresses, we will continue to assess market conditions, commodity prices, and portfolio needs to determine the appropriate balance between reinvestment, net debt reduction and share buybacks.</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CLOSING</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enters the second half of 2026 with a growing exploration pipeline and multiple pathways to long-term shareholder value creation. Bubale-1X has broadened our opportunity set, Hai Su Vang has progressed from appraisal to development planning, and Lac Da Vang is nearing first oil. The breadth of our portfolio creates optionality, allowing us to prioritize the highest-value opportunities and maximize shareholder returns.</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 fully appreciate the discipline and work required to realize the value of these opportunities; exploration can be humbling, development is rarely straightforward and markets are often unpredictable. Yet the capabilities that have long differentiated Murphy—our technical expertise, development execution, and disciplined capital allocation—give me confidence that we can realize the full value of our expanding portfolio.</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I am energized by the opportunities ahead for Murphy and grateful for your continued trust as we pursue them.</w:t>
      </w:r>
    </w:p>
    <w:p>
      <w:pPr>
        <w:pStyle w:val="TextBody"/>
        <w:bidi w:val="0"/>
        <w:spacing w:before="0" w:after="200"/>
        <w:jc w:val="both"/>
        <w:rPr/>
      </w:pPr>
      <w:r>
        <w:rPr/>
        <w:drawing>
          <wp:inline distT="0" distB="0" distL="0" distR="0">
            <wp:extent cx="2143125" cy="657225"/>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4"/>
                    <a:stretch>
                      <a:fillRect/>
                    </a:stretch>
                  </pic:blipFill>
                  <pic:spPr bwMode="auto">
                    <a:xfrm>
                      <a:off x="0" y="0"/>
                      <a:ext cx="2143125" cy="657225"/>
                    </a:xfrm>
                    <a:prstGeom prst="rect">
                      <a:avLst/>
                    </a:prstGeom>
                  </pic:spPr>
                </pic:pic>
              </a:graphicData>
            </a:graphic>
          </wp:inline>
        </w:drawing>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Eric M. Hambly</w:t>
      </w:r>
    </w:p>
    <w:p>
      <w:pPr>
        <w:pStyle w:val="TextBody"/>
        <w:bidi w:val="0"/>
        <w:spacing w:lineRule="auto" w:line="36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President and Chief Executive Officer </w:t>
      </w:r>
    </w:p>
    <w:p>
      <w:pPr>
        <w:pStyle w:val="TextBody"/>
        <w:bidi w:val="0"/>
        <w:spacing w:before="0" w:after="200"/>
        <w:jc w:val="both"/>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7800"/>
                <wp:effectExtent l="0" t="0" r="0" b="0"/>
                <wp:wrapNone/>
                <wp:docPr id="33" name="Frame3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6</w:t>
                      </w:r>
                    </w:p>
                  </w:txbxContent>
                </v:textbox>
                <w10:wrap type="none"/>
              </v:rect>
            </w:pict>
          </mc:Fallback>
        </mc:AlternateContent>
      </w:r>
    </w:p>
    <w:p>
      <w:pPr>
        <w:pStyle w:val="TextBody"/>
        <w:bidi w:val="0"/>
        <w:spacing w:before="0" w:after="200"/>
        <w:jc w:val="right"/>
        <w:rPr/>
      </w:pPr>
      <w:r>
        <w:rPr/>
      </w:r>
    </w:p>
    <w:p>
      <w:pPr>
        <w:pStyle w:val="TextBody"/>
        <w:bidi w:val="0"/>
        <w:spacing w:lineRule="atLeast" w:line="288" w:before="0" w:after="200"/>
        <w:jc w:val="left"/>
        <w:rPr>
          <w:rFonts w:ascii="Avenir Next LT Pro;sans-serif" w:hAnsi="Avenir Next LT Pro;sans-serif"/>
          <w:b/>
          <w:color w:val="000000"/>
          <w:sz w:val="24"/>
        </w:rPr>
      </w:pPr>
      <w:r>
        <w:rPr>
          <w:rFonts w:ascii="Avenir Next LT Pro;sans-serif" w:hAnsi="Avenir Next LT Pro;sans-serif"/>
          <w:b/>
          <w:color w:val="000000"/>
          <w:sz w:val="24"/>
        </w:rPr>
        <w:t>CONFERENCE CALL AND WEBCAST SCHEDULED FOR AUGUST 6, 2026</w:t>
      </w:r>
    </w:p>
    <w:p>
      <w:pPr>
        <w:pStyle w:val="TextBody"/>
        <w:bidi w:val="0"/>
        <w:spacing w:lineRule="atLeast" w:line="319" w:before="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will host a conference call to discuss second quarter 2026 financial and operating results on Thursday, August 6, 2026, at 9:00 a.m. ET. The call can be accessed either via the Internet through the events calendar on the Murphy Oil Corporation Investor Relations website at http://ir.murphyoilcorp.com or via telephone by dialing toll free 833-461-5787, conference ID 127579651. For additional information, please refer to the Second Quarter 2026 Earnings Presentation available under the News and Events section of the Investor Relations website.</w:t>
      </w:r>
    </w:p>
    <w:p>
      <w:pPr>
        <w:pStyle w:val="TextBody"/>
        <w:bidi w:val="0"/>
        <w:spacing w:lineRule="auto" w:line="333"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FORWARD-LOOKING STATEMENTS</w:t>
      </w:r>
    </w:p>
    <w:p>
      <w:pPr>
        <w:pStyle w:val="TextBody"/>
        <w:bidi w:val="0"/>
        <w:spacing w:lineRule="auto" w:line="316"/>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 xml:space="preserve">This letter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w:t>
      </w:r>
    </w:p>
    <w:p>
      <w:pPr>
        <w:pStyle w:val="TextBody"/>
        <w:bidi w:val="0"/>
        <w:spacing w:before="0" w:after="20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7800"/>
                <wp:effectExtent l="0" t="0" r="0" b="0"/>
                <wp:wrapNone/>
                <wp:docPr id="34" name="Frame3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7</w:t>
                      </w:r>
                    </w:p>
                  </w:txbxContent>
                </v:textbox>
                <w10:wrap type="none"/>
              </v:rect>
            </w:pict>
          </mc:Fallback>
        </mc:AlternateContent>
      </w:r>
    </w:p>
    <w:p>
      <w:pPr>
        <w:pStyle w:val="TextBody"/>
        <w:bidi w:val="0"/>
        <w:spacing w:before="0" w:after="200"/>
        <w:jc w:val="right"/>
        <w:rPr/>
      </w:pPr>
      <w:r>
        <w:rPr/>
      </w:r>
    </w:p>
    <w:p>
      <w:pPr>
        <w:pStyle w:val="TextBody"/>
        <w:bidi w:val="0"/>
        <w:spacing w:lineRule="auto" w:line="316" w:before="0" w:after="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letter. Each forward-looking statement contained in this letter speaks only as of the date of this letter. Except as required by applicable law, Murphy Oil Corporation undertakes no duty to publicly update or revise any forward-looking statement, whether as a result of new information, future events or otherwise.</w:t>
      </w:r>
    </w:p>
    <w:p>
      <w:pPr>
        <w:pStyle w:val="TextBody"/>
        <w:bidi w:val="0"/>
        <w:spacing w:lineRule="atLeast" w:line="288" w:before="200" w:after="200"/>
        <w:jc w:val="both"/>
        <w:rPr/>
      </w:pPr>
      <w:r>
        <w:rPr>
          <w:rFonts w:ascii="Avenir Next LT Pro;sans-serif" w:hAnsi="Avenir Next LT Pro;sans-serif"/>
          <w:b w:val="false"/>
          <w:i/>
          <w:color w:val="000000"/>
          <w:sz w:val="16"/>
        </w:rPr>
        <w:t xml:space="preserve">1 </w:t>
      </w:r>
      <w:r>
        <w:rPr>
          <w:rFonts w:ascii="Avenir Next LT Pro;sans-serif" w:hAnsi="Avenir Next LT Pro;sans-serif"/>
          <w:b w:val="false"/>
          <w:i/>
          <w:color w:val="000000"/>
          <w:sz w:val="24"/>
        </w:rPr>
        <w:t xml:space="preserve">This letter contains certain non-GAAP financial measures that management believes are useful tools for internal use and the investment community in evaluating Murphy Oil Corporation’s overall financial performance. These non-GAAP financial measures are broadly used to value and compare companies in the crude oil and natural gas industry. Not all companies define these measures in the same way. In addition, these non-GAAP financial measures are not a substitute for financial measures prepared in accordance with US generally accepted accounting principles (GAAP) and should therefore be considered only as supplemental to such GAAP financial measures. Please see </w:t>
      </w:r>
      <w:hyperlink w:anchor="mur-2026q2xex991.htm">
        <w:r>
          <w:rPr>
            <w:rStyle w:val="InternetLink"/>
            <w:rFonts w:ascii="Avenir Next LT Pro;sans-serif" w:hAnsi="Avenir Next LT Pro;sans-serif"/>
            <w:b w:val="false"/>
            <w:i/>
            <w:color w:val="0000FF"/>
            <w:sz w:val="24"/>
            <w:u w:val="single"/>
          </w:rPr>
          <w:t>Exhibit 99.1</w:t>
        </w:r>
      </w:hyperlink>
      <w:r>
        <w:rPr>
          <w:color w:val="000000"/>
        </w:rPr>
        <w:t xml:space="preserve"> </w:t>
      </w:r>
      <w:r>
        <w:rPr>
          <w:rFonts w:ascii="Avenir Next LT Pro;sans-serif" w:hAnsi="Avenir Next LT Pro;sans-serif"/>
          <w:b w:val="false"/>
          <w:i/>
          <w:color w:val="000000"/>
          <w:sz w:val="24"/>
        </w:rPr>
        <w:t>on Form 8-K filed on August 5, 2026, for reconciliations of the differences between the non-GAAP financial measures used in this letter and the most directly comparable GAAP financial measures.</w:t>
      </w:r>
    </w:p>
    <w:p>
      <w:pPr>
        <w:pStyle w:val="TextBody"/>
        <w:bidi w:val="0"/>
        <w:spacing w:lineRule="atLeast" w:line="288" w:before="200" w:after="200"/>
        <w:jc w:val="both"/>
        <w:rPr/>
      </w:pPr>
      <w:r>
        <w:rPr>
          <w:rFonts w:ascii="Avenir Next LT Pro;sans-serif" w:hAnsi="Avenir Next LT Pro;sans-serif"/>
          <w:b w:val="false"/>
          <w:i/>
          <w:color w:val="000000"/>
          <w:sz w:val="16"/>
        </w:rPr>
        <w:t xml:space="preserve">2 </w:t>
      </w:r>
      <w:r>
        <w:rPr>
          <w:rFonts w:ascii="Avenir Next LT Pro;sans-serif" w:hAnsi="Avenir Next LT Pro;sans-serif"/>
          <w:b w:val="false"/>
          <w:i/>
          <w:color w:val="000000"/>
          <w:sz w:val="24"/>
        </w:rPr>
        <w:t>In accordance with GAAP, Murphy reports the 100 percent interest, including a 20 percent noncontrolling interest (NCI), in its subsidiary, MP Gulf of Mexico, LLC (MP GOM). The GAAP financials include the NCI portion of revenue, costs, assets and liabilities and cash flows. Unless otherwise noted, the financial and operating highlights and metrics discussed in this letter exclude the NCI, thereby representing only the amounts attributable to Murphy.</w:t>
      </w:r>
    </w:p>
    <w:p>
      <w:pPr>
        <w:pStyle w:val="TextBody"/>
        <w:bidi w:val="0"/>
        <w:spacing w:before="0" w:after="20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7800"/>
                <wp:effectExtent l="0" t="0" r="0" b="0"/>
                <wp:wrapNone/>
                <wp:docPr id="35" name="Frame3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8</w:t>
                      </w:r>
                    </w:p>
                  </w:txbxContent>
                </v:textbox>
                <w10:wrap type="none"/>
              </v:rect>
            </w:pict>
          </mc:Fallback>
        </mc:AlternateContent>
      </w:r>
    </w:p>
    <w:p>
      <w:pPr>
        <w:pStyle w:val="TextBody"/>
        <w:bidi w:val="0"/>
        <w:spacing w:before="0" w:after="200"/>
        <w:jc w:val="right"/>
        <w:rPr/>
      </w:pPr>
      <w:r>
        <w:rPr/>
      </w:r>
    </w:p>
    <w:tbl>
      <w:tblPr>
        <w:tblW w:w="4816" w:type="dxa"/>
        <w:jc w:val="left"/>
        <w:tblInd w:w="0" w:type="dxa"/>
        <w:tblLayout w:type="fixed"/>
        <w:tblCellMar>
          <w:top w:w="28" w:type="dxa"/>
          <w:left w:w="28" w:type="dxa"/>
          <w:bottom w:w="28" w:type="dxa"/>
          <w:right w:w="28" w:type="dxa"/>
        </w:tblCellMar>
      </w:tblPr>
      <w:tblGrid>
        <w:gridCol w:w="1540"/>
        <w:gridCol w:w="1353"/>
        <w:gridCol w:w="1923"/>
      </w:tblGrid>
      <w:tr>
        <w:trPr/>
        <w:tc>
          <w:tcPr>
            <w:tcW w:w="15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venir Next LT Pro;sans-serif" w:hAnsi="Avenir Next LT Pro;sans-serif"/>
                <w:b/>
                <w:color w:val="000000"/>
                <w:sz w:val="24"/>
              </w:rPr>
            </w:pPr>
            <w:r>
              <w:rPr>
                <w:rFonts w:ascii="Avenir Next LT Pro;sans-serif" w:hAnsi="Avenir Next LT Pro;sans-serif"/>
                <w:b/>
                <w:color w:val="000000"/>
                <w:sz w:val="24"/>
              </w:rPr>
              <w:t>Investor Contacts:</w:t>
            </w:r>
          </w:p>
        </w:tc>
      </w:tr>
      <w:tr>
        <w:trPr/>
        <w:tc>
          <w:tcPr>
            <w:tcW w:w="481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InvestorRelations@murphyoilcorp.com</w:t>
            </w:r>
          </w:p>
        </w:tc>
      </w:tr>
      <w:tr>
        <w:trPr/>
        <w:tc>
          <w:tcPr>
            <w:tcW w:w="4816"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Atif Riaz, 281-675-9358</w:t>
            </w:r>
          </w:p>
        </w:tc>
      </w:tr>
      <w:tr>
        <w:trPr/>
        <w:tc>
          <w:tcPr>
            <w:tcW w:w="4816"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43" w:after="2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Beth Heller, 281-675-9363</w:t>
            </w:r>
          </w:p>
        </w:tc>
      </w:tr>
    </w:tbl>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7800"/>
                <wp:effectExtent l="0" t="0" r="0" b="0"/>
                <wp:wrapNone/>
                <wp:docPr id="36" name="Frame3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3" w:before="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9262</Words>
  <Characters>52384</Characters>
  <CharactersWithSpaces>60778</CharactersWithSpaces>
  <Paragraphs>1837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